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“</w:t>
      </w:r>
      <w:r>
        <w:rPr>
          <w:sz w:val="32"/>
          <w:szCs w:val="32"/>
        </w:rPr>
        <w:t>新津区2023年慢性病及社会影响因素调查</w:t>
      </w:r>
      <w:r>
        <w:rPr>
          <w:rFonts w:hint="eastAsia"/>
          <w:sz w:val="32"/>
          <w:szCs w:val="32"/>
          <w:lang w:eastAsia="zh-CN"/>
        </w:rPr>
        <w:t>”招投标结果</w:t>
      </w:r>
    </w:p>
    <w:p/>
    <w:p>
      <w:r>
        <w:t>2023年2月1日至2月28日，成都市新津区疾病预防控制中心</w:t>
      </w:r>
      <w:r>
        <w:rPr>
          <w:rFonts w:hint="eastAsia"/>
          <w:lang w:eastAsia="zh-CN"/>
        </w:rPr>
        <w:t>根据《成都市新津区慢性病及社会影响因素调查询价方案》，</w:t>
      </w:r>
      <w:r>
        <w:t>分别邀请三个团队开展”成都市新津区2023年慢性病及社会影响因素调查“询价，华西刘祥团队报价19.1万，华西周欢团队报价15.2226万，成都医学院陈晓芳团队报价26.39万。2月28日，中心班子会讨论</w:t>
      </w:r>
      <w:r>
        <w:rPr>
          <w:rFonts w:hint="eastAsia"/>
          <w:lang w:eastAsia="zh-CN"/>
        </w:rPr>
        <w:t>结果：在保证质量基础上</w:t>
      </w:r>
      <w:r>
        <w:t>以低价中标方式选中周欢团队（联系人吴玉菊）合作开展新津区2023年慢性病及社会影响因素调查。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ZThjM2YxNzUwZDUyZGVkZjM3YmMxYzBjMzdlZGMifQ=="/>
  </w:docVars>
  <w:rsids>
    <w:rsidRoot w:val="001B5A0D"/>
    <w:rsid w:val="001B5A0D"/>
    <w:rsid w:val="00213944"/>
    <w:rsid w:val="0FC56DCA"/>
    <w:rsid w:val="6C6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204</Characters>
  <Lines>1</Lines>
  <Paragraphs>1</Paragraphs>
  <TotalTime>2</TotalTime>
  <ScaleCrop>false</ScaleCrop>
  <LinksUpToDate>false</LinksUpToDate>
  <CharactersWithSpaces>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2023-02-28T05:40:00Z</dcterms:created>
  <dc:creator>Administrator</dc:creator>
  <cp:lastModifiedBy>鳯ル</cp:lastModifiedBy>
  <dcterms:modified xsi:type="dcterms:W3CDTF">2023-02-28T06:26:14Z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5DC659A8DB49484D87CF0BADA4CF001B</vt:lpwstr>
  </property>
</Properties>
</file>