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D51C69" w:rsidP="00726786">
      <w:pPr>
        <w:adjustRightInd w:val="0"/>
        <w:snapToGrid w:val="0"/>
        <w:spacing w:line="360" w:lineRule="auto"/>
        <w:jc w:val="left"/>
        <w:rPr>
          <w:rFonts w:asciiTheme="minorEastAsia" w:hAnsiTheme="minorEastAsia"/>
          <w:color w:val="000000" w:themeColor="text1"/>
          <w:sz w:val="24"/>
          <w:szCs w:val="24"/>
        </w:rPr>
      </w:pPr>
      <w:r w:rsidRPr="00D51C69">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C4097F">
        <w:rPr>
          <w:rFonts w:asciiTheme="minorEastAsia" w:hAnsiTheme="minorEastAsia" w:hint="eastAsia"/>
          <w:color w:val="000000" w:themeColor="text1"/>
          <w:sz w:val="24"/>
          <w:szCs w:val="24"/>
        </w:rPr>
        <w:t>1</w:t>
      </w:r>
      <w:r w:rsidR="00C81599">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F7111C">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F7111C">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日-</w:t>
      </w:r>
      <w:r w:rsidR="003D5CC1">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1215D4">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941891" w:rsidRDefault="00D51C69">
      <w:pPr>
        <w:pStyle w:val="10"/>
        <w:rPr>
          <w:b w:val="0"/>
          <w:noProof/>
          <w:sz w:val="21"/>
          <w:szCs w:val="22"/>
          <w:shd w:val="clear" w:color="auto" w:fill="auto"/>
        </w:rPr>
      </w:pPr>
      <w:r w:rsidRPr="00D51C69">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D51C69">
        <w:rPr>
          <w:rFonts w:ascii="黑体" w:eastAsia="黑体"/>
          <w:color w:val="000000" w:themeColor="text1"/>
          <w:sz w:val="28"/>
          <w:szCs w:val="28"/>
        </w:rPr>
        <w:fldChar w:fldCharType="separate"/>
      </w:r>
      <w:hyperlink w:anchor="_Toc141689330" w:history="1">
        <w:r w:rsidR="00941891" w:rsidRPr="006F2166">
          <w:rPr>
            <w:rStyle w:val="a4"/>
            <w:rFonts w:asciiTheme="minorEastAsia" w:hAnsiTheme="minorEastAsia" w:cs="Times New Roman" w:hint="eastAsia"/>
            <w:noProof/>
          </w:rPr>
          <w:t>截至</w:t>
        </w:r>
        <w:r w:rsidR="00941891" w:rsidRPr="006F2166">
          <w:rPr>
            <w:rStyle w:val="a4"/>
            <w:rFonts w:asciiTheme="minorEastAsia" w:hAnsiTheme="minorEastAsia" w:cs="Times New Roman"/>
            <w:noProof/>
          </w:rPr>
          <w:t>5</w:t>
        </w:r>
        <w:r w:rsidR="00941891" w:rsidRPr="006F2166">
          <w:rPr>
            <w:rStyle w:val="a4"/>
            <w:rFonts w:asciiTheme="minorEastAsia" w:hAnsiTheme="minorEastAsia" w:cs="Times New Roman" w:hint="eastAsia"/>
            <w:noProof/>
          </w:rPr>
          <w:t>月</w:t>
        </w:r>
        <w:r w:rsidR="00941891" w:rsidRPr="006F2166">
          <w:rPr>
            <w:rStyle w:val="a4"/>
            <w:rFonts w:asciiTheme="minorEastAsia" w:hAnsiTheme="minorEastAsia" w:cs="Times New Roman"/>
            <w:noProof/>
          </w:rPr>
          <w:t>8</w:t>
        </w:r>
        <w:r w:rsidR="00941891" w:rsidRPr="006F2166">
          <w:rPr>
            <w:rStyle w:val="a4"/>
            <w:rFonts w:asciiTheme="minorEastAsia" w:hAnsiTheme="minorEastAsia" w:cs="Times New Roman" w:hint="eastAsia"/>
            <w:noProof/>
          </w:rPr>
          <w:t>日</w:t>
        </w:r>
        <w:r w:rsidR="00941891" w:rsidRPr="006F2166">
          <w:rPr>
            <w:rStyle w:val="a4"/>
            <w:rFonts w:asciiTheme="minorEastAsia" w:hAnsiTheme="minorEastAsia" w:cs="Times New Roman"/>
            <w:noProof/>
          </w:rPr>
          <w:t>24</w:t>
        </w:r>
        <w:r w:rsidR="00941891" w:rsidRPr="006F2166">
          <w:rPr>
            <w:rStyle w:val="a4"/>
            <w:rFonts w:asciiTheme="minorEastAsia" w:hAnsiTheme="minorEastAsia" w:cs="Times New Roman" w:hint="eastAsia"/>
            <w:noProof/>
          </w:rPr>
          <w:t>时新型冠状病毒肺炎疫情最新情况</w:t>
        </w:r>
        <w:r w:rsidR="00941891">
          <w:rPr>
            <w:noProof/>
            <w:webHidden/>
          </w:rPr>
          <w:tab/>
        </w:r>
        <w:r w:rsidR="00941891">
          <w:rPr>
            <w:noProof/>
            <w:webHidden/>
          </w:rPr>
          <w:fldChar w:fldCharType="begin"/>
        </w:r>
        <w:r w:rsidR="00941891">
          <w:rPr>
            <w:noProof/>
            <w:webHidden/>
          </w:rPr>
          <w:instrText xml:space="preserve"> PAGEREF _Toc141689330 \h </w:instrText>
        </w:r>
        <w:r w:rsidR="00941891">
          <w:rPr>
            <w:noProof/>
            <w:webHidden/>
          </w:rPr>
        </w:r>
        <w:r w:rsidR="00941891">
          <w:rPr>
            <w:noProof/>
            <w:webHidden/>
          </w:rPr>
          <w:fldChar w:fldCharType="separate"/>
        </w:r>
        <w:r w:rsidR="00941891">
          <w:rPr>
            <w:noProof/>
            <w:webHidden/>
          </w:rPr>
          <w:t>1</w:t>
        </w:r>
        <w:r w:rsidR="00941891">
          <w:rPr>
            <w:noProof/>
            <w:webHidden/>
          </w:rPr>
          <w:fldChar w:fldCharType="end"/>
        </w:r>
      </w:hyperlink>
    </w:p>
    <w:p w:rsidR="00941891" w:rsidRDefault="00941891">
      <w:pPr>
        <w:pStyle w:val="10"/>
        <w:rPr>
          <w:b w:val="0"/>
          <w:noProof/>
          <w:sz w:val="21"/>
          <w:szCs w:val="22"/>
          <w:shd w:val="clear" w:color="auto" w:fill="auto"/>
        </w:rPr>
      </w:pPr>
      <w:hyperlink w:anchor="_Toc141689331" w:history="1">
        <w:r w:rsidRPr="006F2166">
          <w:rPr>
            <w:rStyle w:val="a4"/>
            <w:rFonts w:cs="Times New Roman" w:hint="eastAsia"/>
            <w:noProof/>
          </w:rPr>
          <w:t>让“动态清零”成为一种行动自觉</w:t>
        </w:r>
        <w:r>
          <w:rPr>
            <w:noProof/>
            <w:webHidden/>
          </w:rPr>
          <w:tab/>
        </w:r>
        <w:r>
          <w:rPr>
            <w:noProof/>
            <w:webHidden/>
          </w:rPr>
          <w:fldChar w:fldCharType="begin"/>
        </w:r>
        <w:r>
          <w:rPr>
            <w:noProof/>
            <w:webHidden/>
          </w:rPr>
          <w:instrText xml:space="preserve"> PAGEREF _Toc141689331 \h </w:instrText>
        </w:r>
        <w:r>
          <w:rPr>
            <w:noProof/>
            <w:webHidden/>
          </w:rPr>
        </w:r>
        <w:r>
          <w:rPr>
            <w:noProof/>
            <w:webHidden/>
          </w:rPr>
          <w:fldChar w:fldCharType="separate"/>
        </w:r>
        <w:r>
          <w:rPr>
            <w:noProof/>
            <w:webHidden/>
          </w:rPr>
          <w:t>2</w:t>
        </w:r>
        <w:r>
          <w:rPr>
            <w:noProof/>
            <w:webHidden/>
          </w:rPr>
          <w:fldChar w:fldCharType="end"/>
        </w:r>
      </w:hyperlink>
    </w:p>
    <w:p w:rsidR="00941891" w:rsidRDefault="00941891">
      <w:pPr>
        <w:pStyle w:val="10"/>
        <w:rPr>
          <w:b w:val="0"/>
          <w:noProof/>
          <w:sz w:val="21"/>
          <w:szCs w:val="22"/>
          <w:shd w:val="clear" w:color="auto" w:fill="auto"/>
        </w:rPr>
      </w:pPr>
      <w:hyperlink w:anchor="_Toc141689332" w:history="1">
        <w:r w:rsidRPr="006F2166">
          <w:rPr>
            <w:rStyle w:val="a4"/>
            <w:rFonts w:cs="Times New Roman" w:hint="eastAsia"/>
            <w:noProof/>
          </w:rPr>
          <w:t>四川启动银龄健康工程</w:t>
        </w:r>
        <w:r>
          <w:rPr>
            <w:noProof/>
            <w:webHidden/>
          </w:rPr>
          <w:tab/>
        </w:r>
        <w:r>
          <w:rPr>
            <w:noProof/>
            <w:webHidden/>
          </w:rPr>
          <w:fldChar w:fldCharType="begin"/>
        </w:r>
        <w:r>
          <w:rPr>
            <w:noProof/>
            <w:webHidden/>
          </w:rPr>
          <w:instrText xml:space="preserve"> PAGEREF _Toc141689332 \h </w:instrText>
        </w:r>
        <w:r>
          <w:rPr>
            <w:noProof/>
            <w:webHidden/>
          </w:rPr>
        </w:r>
        <w:r>
          <w:rPr>
            <w:noProof/>
            <w:webHidden/>
          </w:rPr>
          <w:fldChar w:fldCharType="separate"/>
        </w:r>
        <w:r>
          <w:rPr>
            <w:noProof/>
            <w:webHidden/>
          </w:rPr>
          <w:t>3</w:t>
        </w:r>
        <w:r>
          <w:rPr>
            <w:noProof/>
            <w:webHidden/>
          </w:rPr>
          <w:fldChar w:fldCharType="end"/>
        </w:r>
      </w:hyperlink>
    </w:p>
    <w:p w:rsidR="00941891" w:rsidRDefault="00941891">
      <w:pPr>
        <w:pStyle w:val="10"/>
        <w:rPr>
          <w:b w:val="0"/>
          <w:noProof/>
          <w:sz w:val="21"/>
          <w:szCs w:val="22"/>
          <w:shd w:val="clear" w:color="auto" w:fill="auto"/>
        </w:rPr>
      </w:pPr>
      <w:hyperlink w:anchor="_Toc141689333" w:history="1">
        <w:r w:rsidRPr="006F2166">
          <w:rPr>
            <w:rStyle w:val="a4"/>
            <w:rFonts w:cs="Times New Roman" w:hint="eastAsia"/>
            <w:noProof/>
          </w:rPr>
          <w:t>科学家建立一种实现肺癌检测、分型及伴随诊断的技术平台</w:t>
        </w:r>
        <w:r>
          <w:rPr>
            <w:noProof/>
            <w:webHidden/>
          </w:rPr>
          <w:tab/>
        </w:r>
        <w:r>
          <w:rPr>
            <w:noProof/>
            <w:webHidden/>
          </w:rPr>
          <w:fldChar w:fldCharType="begin"/>
        </w:r>
        <w:r>
          <w:rPr>
            <w:noProof/>
            <w:webHidden/>
          </w:rPr>
          <w:instrText xml:space="preserve"> PAGEREF _Toc141689333 \h </w:instrText>
        </w:r>
        <w:r>
          <w:rPr>
            <w:noProof/>
            <w:webHidden/>
          </w:rPr>
        </w:r>
        <w:r>
          <w:rPr>
            <w:noProof/>
            <w:webHidden/>
          </w:rPr>
          <w:fldChar w:fldCharType="separate"/>
        </w:r>
        <w:r>
          <w:rPr>
            <w:noProof/>
            <w:webHidden/>
          </w:rPr>
          <w:t>4</w:t>
        </w:r>
        <w:r>
          <w:rPr>
            <w:noProof/>
            <w:webHidden/>
          </w:rPr>
          <w:fldChar w:fldCharType="end"/>
        </w:r>
      </w:hyperlink>
    </w:p>
    <w:p w:rsidR="00423756" w:rsidRDefault="00D51C69"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3D5CC1" w:rsidRPr="00C715E7" w:rsidRDefault="003D5CC1" w:rsidP="003D5CC1">
      <w:pPr>
        <w:pStyle w:val="1"/>
        <w:adjustRightInd w:val="0"/>
        <w:snapToGrid w:val="0"/>
        <w:spacing w:before="0" w:after="0" w:line="360" w:lineRule="auto"/>
        <w:rPr>
          <w:rFonts w:asciiTheme="minorEastAsia" w:hAnsiTheme="minorEastAsia" w:cs="Times New Roman"/>
          <w:color w:val="333333"/>
          <w:sz w:val="24"/>
          <w:szCs w:val="24"/>
        </w:rPr>
      </w:pPr>
      <w:bookmarkStart w:id="3" w:name="_Toc102986414"/>
      <w:bookmarkStart w:id="4" w:name="_Toc141689330"/>
      <w:r w:rsidRPr="00C715E7">
        <w:rPr>
          <w:rFonts w:asciiTheme="minorEastAsia" w:hAnsiTheme="minorEastAsia" w:cs="Times New Roman" w:hint="eastAsia"/>
          <w:color w:val="333333"/>
          <w:sz w:val="24"/>
          <w:szCs w:val="24"/>
        </w:rPr>
        <w:t>截至</w:t>
      </w:r>
      <w:bookmarkEnd w:id="3"/>
      <w:r w:rsidRPr="00C715E7">
        <w:rPr>
          <w:rFonts w:asciiTheme="minorEastAsia" w:hAnsiTheme="minorEastAsia" w:cs="Times New Roman" w:hint="eastAsia"/>
          <w:color w:val="333333"/>
          <w:sz w:val="24"/>
          <w:szCs w:val="24"/>
        </w:rPr>
        <w:t>5月8日24时新型冠状病毒肺炎疫情最新情况</w:t>
      </w:r>
      <w:bookmarkEnd w:id="4"/>
    </w:p>
    <w:p w:rsidR="003D5CC1" w:rsidRPr="003D5CC1" w:rsidRDefault="003D5CC1" w:rsidP="003D5CC1">
      <w:pPr>
        <w:shd w:val="clear" w:color="auto" w:fill="FFFFFF"/>
        <w:adjustRightInd w:val="0"/>
        <w:snapToGrid w:val="0"/>
        <w:spacing w:line="360" w:lineRule="auto"/>
        <w:jc w:val="left"/>
        <w:rPr>
          <w:rFonts w:asciiTheme="minorEastAsia" w:hAnsiTheme="minorEastAsia" w:cs="Times New Roman"/>
          <w:color w:val="333333"/>
          <w:szCs w:val="21"/>
        </w:rPr>
      </w:pPr>
      <w:r w:rsidRPr="003D5CC1">
        <w:rPr>
          <w:rFonts w:asciiTheme="minorEastAsia" w:hAnsiTheme="minorEastAsia" w:cs="Times New Roman" w:hint="eastAsia"/>
          <w:color w:val="333333"/>
          <w:szCs w:val="21"/>
        </w:rPr>
        <w:t>(2022-05-09    卫生应急办公室)</w:t>
      </w:r>
    </w:p>
    <w:p w:rsidR="003D5CC1" w:rsidRPr="003D5CC1" w:rsidRDefault="003D5CC1" w:rsidP="003D5CC1">
      <w:pPr>
        <w:shd w:val="clear" w:color="auto" w:fill="FFFFFF"/>
        <w:adjustRightInd w:val="0"/>
        <w:snapToGrid w:val="0"/>
        <w:spacing w:line="360" w:lineRule="auto"/>
        <w:ind w:firstLine="420"/>
        <w:rPr>
          <w:rFonts w:asciiTheme="minorEastAsia" w:hAnsiTheme="minorEastAsia" w:cs="Times New Roman"/>
          <w:color w:val="333333"/>
          <w:szCs w:val="21"/>
        </w:rPr>
      </w:pPr>
      <w:r w:rsidRPr="003D5CC1">
        <w:rPr>
          <w:rFonts w:asciiTheme="minorEastAsia" w:hAnsiTheme="minorEastAsia" w:cs="Times New Roman" w:hint="eastAsia"/>
          <w:color w:val="333333"/>
          <w:szCs w:val="21"/>
        </w:rPr>
        <w:t>5月8日0—24时，31个省（自治区、直辖市）和新疆生产建设兵团报告新增确诊病例415例。其中境外输入病例14例（广东7例，福建4例，上海2例，广西1例），含2例由无症状感染者转为确诊病例（福建1例，广东1例）；本土病例401例（上海322例，北京33例，广东28例，河南14例，青海2例，浙江1例，湖南1例），含236例由无症状感染者转为确诊病例（上海230例，北京5例，广东1例）。新增死亡病例11例，均为本土病例，均在上海；无新增疑似病例。</w:t>
      </w:r>
    </w:p>
    <w:p w:rsidR="003D5CC1" w:rsidRPr="003D5CC1" w:rsidRDefault="003D5CC1" w:rsidP="003D5CC1">
      <w:pPr>
        <w:shd w:val="clear" w:color="auto" w:fill="FFFFFF"/>
        <w:adjustRightInd w:val="0"/>
        <w:snapToGrid w:val="0"/>
        <w:spacing w:line="360" w:lineRule="auto"/>
        <w:ind w:firstLine="420"/>
        <w:rPr>
          <w:rFonts w:asciiTheme="minorEastAsia" w:hAnsiTheme="minorEastAsia" w:cs="Times New Roman"/>
          <w:color w:val="333333"/>
          <w:szCs w:val="21"/>
        </w:rPr>
      </w:pPr>
      <w:r w:rsidRPr="003D5CC1">
        <w:rPr>
          <w:rFonts w:asciiTheme="minorEastAsia" w:hAnsiTheme="minorEastAsia" w:cs="Times New Roman" w:hint="eastAsia"/>
          <w:color w:val="333333"/>
          <w:szCs w:val="21"/>
        </w:rPr>
        <w:t>当日新增治愈出院病例849例，其中境外输入病例16例，本土病例833例（上海645例，吉林57例，黑龙江26例，江西23例，浙江16例，北京12例，辽宁10例，内蒙古8例，四川8例，广东7例，河南6例，福建4例，湖南3例，江苏2例，重庆2例，青海2例，安徽1例，山东1例），解除医学观察的密切接触者44163人，重症病例较前一日减少4例。</w:t>
      </w:r>
    </w:p>
    <w:p w:rsidR="003D5CC1" w:rsidRPr="003D5CC1" w:rsidRDefault="003D5CC1" w:rsidP="003D5CC1">
      <w:pPr>
        <w:shd w:val="clear" w:color="auto" w:fill="FFFFFF"/>
        <w:adjustRightInd w:val="0"/>
        <w:snapToGrid w:val="0"/>
        <w:spacing w:line="360" w:lineRule="auto"/>
        <w:ind w:firstLine="420"/>
        <w:rPr>
          <w:rFonts w:asciiTheme="minorEastAsia" w:hAnsiTheme="minorEastAsia" w:cs="Times New Roman"/>
          <w:color w:val="333333"/>
          <w:szCs w:val="21"/>
        </w:rPr>
      </w:pPr>
      <w:r w:rsidRPr="003D5CC1">
        <w:rPr>
          <w:rFonts w:asciiTheme="minorEastAsia" w:hAnsiTheme="minorEastAsia" w:cs="Times New Roman" w:hint="eastAsia"/>
          <w:color w:val="333333"/>
          <w:szCs w:val="21"/>
        </w:rPr>
        <w:t>境外输入现有确诊病例158例（无重症病例），无现有疑似病例。累计确诊病例18286例，累计治愈出院病例18128例，无死亡病例。</w:t>
      </w:r>
    </w:p>
    <w:p w:rsidR="003D5CC1" w:rsidRPr="003D5CC1" w:rsidRDefault="003D5CC1" w:rsidP="003D5CC1">
      <w:pPr>
        <w:shd w:val="clear" w:color="auto" w:fill="FFFFFF"/>
        <w:adjustRightInd w:val="0"/>
        <w:snapToGrid w:val="0"/>
        <w:spacing w:line="360" w:lineRule="auto"/>
        <w:ind w:firstLine="420"/>
        <w:rPr>
          <w:rFonts w:asciiTheme="minorEastAsia" w:hAnsiTheme="minorEastAsia" w:cs="Times New Roman"/>
          <w:color w:val="333333"/>
          <w:szCs w:val="21"/>
        </w:rPr>
      </w:pPr>
      <w:r w:rsidRPr="003D5CC1">
        <w:rPr>
          <w:rFonts w:asciiTheme="minorEastAsia" w:hAnsiTheme="minorEastAsia" w:cs="Times New Roman" w:hint="eastAsia"/>
          <w:color w:val="333333"/>
          <w:szCs w:val="21"/>
        </w:rPr>
        <w:t>截至5月8日24时，据31个省（自治区、直辖市）和新疆生产建设兵团报告，现有确诊病例8736例（其中重症病例529例），累计治愈出院病例206119例，累计死亡病例5185例，累计报告确诊病例220040例，无现有疑似病例。累计追踪到密切接触者3692144人，尚在医学观察的密切接触者401851人。</w:t>
      </w:r>
    </w:p>
    <w:p w:rsidR="003D5CC1" w:rsidRPr="003D5CC1" w:rsidRDefault="003D5CC1" w:rsidP="003D5CC1">
      <w:pPr>
        <w:shd w:val="clear" w:color="auto" w:fill="FFFFFF"/>
        <w:adjustRightInd w:val="0"/>
        <w:snapToGrid w:val="0"/>
        <w:spacing w:line="360" w:lineRule="auto"/>
        <w:ind w:firstLine="420"/>
        <w:rPr>
          <w:rFonts w:asciiTheme="minorEastAsia" w:hAnsiTheme="minorEastAsia" w:cs="Times New Roman"/>
          <w:color w:val="333333"/>
          <w:szCs w:val="21"/>
        </w:rPr>
      </w:pPr>
      <w:r w:rsidRPr="003D5CC1">
        <w:rPr>
          <w:rFonts w:asciiTheme="minorEastAsia" w:hAnsiTheme="minorEastAsia" w:cs="Times New Roman" w:hint="eastAsia"/>
          <w:color w:val="333333"/>
          <w:szCs w:val="21"/>
        </w:rPr>
        <w:t>31个省（自治区、直辖市）和新疆生产建设兵团报告新增无症状感染者3918例，其中境外输入59例，本土3859例（上海3625例，江苏62例，辽宁50例，河南46例，青海18例，北京16例，浙江16例，广东12例，江西10例，吉林3例，河北1例）。</w:t>
      </w:r>
    </w:p>
    <w:p w:rsidR="003D5CC1" w:rsidRPr="003D5CC1" w:rsidRDefault="003D5CC1" w:rsidP="003D5CC1">
      <w:pPr>
        <w:shd w:val="clear" w:color="auto" w:fill="FFFFFF"/>
        <w:adjustRightInd w:val="0"/>
        <w:snapToGrid w:val="0"/>
        <w:spacing w:line="360" w:lineRule="auto"/>
        <w:ind w:firstLine="420"/>
        <w:rPr>
          <w:rFonts w:asciiTheme="minorEastAsia" w:hAnsiTheme="minorEastAsia" w:cs="Times New Roman"/>
          <w:color w:val="333333"/>
          <w:szCs w:val="21"/>
        </w:rPr>
      </w:pPr>
      <w:r w:rsidRPr="003D5CC1">
        <w:rPr>
          <w:rFonts w:asciiTheme="minorEastAsia" w:hAnsiTheme="minorEastAsia" w:cs="Times New Roman" w:hint="eastAsia"/>
          <w:color w:val="333333"/>
          <w:szCs w:val="21"/>
        </w:rPr>
        <w:t>当日解除医学观察的无症状感染者8628例，其中境外输入88例，本土8540例（上海8069例，吉林85例，辽宁78例，江西66例，山东47例，河北29例，河南27例，江苏25例，浙江</w:t>
      </w:r>
      <w:r w:rsidRPr="003D5CC1">
        <w:rPr>
          <w:rFonts w:asciiTheme="minorEastAsia" w:hAnsiTheme="minorEastAsia" w:cs="Times New Roman" w:hint="eastAsia"/>
          <w:color w:val="333333"/>
          <w:szCs w:val="21"/>
        </w:rPr>
        <w:lastRenderedPageBreak/>
        <w:t>24例，黑龙江19例，安徽16例，云南16例，福建8例，湖北8例，广西8例，新疆7例，北京2例，青海2例，山西1例，广东1例，重庆1例，四川1例）；当日转为确诊病例238例（境外输入2例）；尚在医学观察的无症状感染者92564例（境外输入474例）。</w:t>
      </w:r>
    </w:p>
    <w:p w:rsidR="003D5CC1" w:rsidRPr="003D5CC1" w:rsidRDefault="003D5CC1" w:rsidP="003D5CC1">
      <w:pPr>
        <w:shd w:val="clear" w:color="auto" w:fill="FFFFFF"/>
        <w:adjustRightInd w:val="0"/>
        <w:snapToGrid w:val="0"/>
        <w:spacing w:line="360" w:lineRule="auto"/>
        <w:ind w:firstLine="420"/>
        <w:rPr>
          <w:rFonts w:asciiTheme="minorEastAsia" w:hAnsiTheme="minorEastAsia" w:cs="Times New Roman"/>
          <w:color w:val="333333"/>
          <w:szCs w:val="21"/>
        </w:rPr>
      </w:pPr>
      <w:r w:rsidRPr="003D5CC1">
        <w:rPr>
          <w:rFonts w:asciiTheme="minorEastAsia" w:hAnsiTheme="minorEastAsia" w:cs="Times New Roman" w:hint="eastAsia"/>
          <w:color w:val="333333"/>
          <w:szCs w:val="21"/>
        </w:rPr>
        <w:t>累计收到港澳台地区通报确诊病例688627例。其中，香港特别行政区331274例（出院60600例，死亡9346例），澳门特别行政区82例（出院82例），台湾地区357271例（出院13742例，死亡919例）。</w:t>
      </w:r>
    </w:p>
    <w:p w:rsidR="003D5CC1" w:rsidRPr="003D5CC1" w:rsidRDefault="003D5CC1" w:rsidP="003D5CC1">
      <w:pPr>
        <w:shd w:val="clear" w:color="auto" w:fill="FFFFFF"/>
        <w:adjustRightInd w:val="0"/>
        <w:snapToGrid w:val="0"/>
        <w:spacing w:line="360" w:lineRule="auto"/>
        <w:jc w:val="left"/>
        <w:rPr>
          <w:rFonts w:asciiTheme="minorEastAsia" w:hAnsiTheme="minorEastAsia" w:cs="Times New Roman"/>
          <w:color w:val="333333"/>
          <w:szCs w:val="21"/>
        </w:rPr>
      </w:pPr>
      <w:r w:rsidRPr="003D5CC1">
        <w:rPr>
          <w:rFonts w:asciiTheme="minorEastAsia" w:hAnsiTheme="minorEastAsia" w:cs="Times New Roman" w:hint="eastAsia"/>
          <w:color w:val="333333"/>
          <w:szCs w:val="21"/>
        </w:rPr>
        <w:t>     摘引网址: </w:t>
      </w:r>
    </w:p>
    <w:p w:rsidR="003D5CC1" w:rsidRPr="003D5CC1" w:rsidRDefault="003D5CC1" w:rsidP="003D5CC1">
      <w:pPr>
        <w:shd w:val="clear" w:color="auto" w:fill="FFFFFF"/>
        <w:adjustRightInd w:val="0"/>
        <w:snapToGrid w:val="0"/>
        <w:spacing w:line="360" w:lineRule="auto"/>
        <w:jc w:val="left"/>
        <w:rPr>
          <w:rFonts w:asciiTheme="minorEastAsia" w:hAnsiTheme="minorEastAsia" w:cs="Times New Roman"/>
          <w:color w:val="333333"/>
          <w:szCs w:val="21"/>
        </w:rPr>
      </w:pPr>
      <w:r w:rsidRPr="003D5CC1">
        <w:rPr>
          <w:rFonts w:asciiTheme="minorEastAsia" w:hAnsiTheme="minorEastAsia" w:cs="Times New Roman" w:hint="eastAsia"/>
          <w:color w:val="333333"/>
          <w:szCs w:val="21"/>
        </w:rPr>
        <w:t>http://www.nhc.gov.cn/yjb/s7860/202205/fba738cd4a134897b38ff4b87eb5fb5a.shtml</w:t>
      </w:r>
    </w:p>
    <w:p w:rsidR="003D5CC1" w:rsidRPr="003D5CC1" w:rsidRDefault="003D5CC1" w:rsidP="003D5CC1">
      <w:pPr>
        <w:adjustRightInd w:val="0"/>
        <w:snapToGrid w:val="0"/>
        <w:spacing w:line="360" w:lineRule="auto"/>
        <w:rPr>
          <w:rFonts w:asciiTheme="minorEastAsia" w:hAnsiTheme="minorEastAsia"/>
          <w:szCs w:val="21"/>
        </w:rPr>
      </w:pPr>
    </w:p>
    <w:p w:rsidR="00F7111C" w:rsidRDefault="00F7111C" w:rsidP="00F7111C">
      <w:pPr>
        <w:pStyle w:val="1"/>
        <w:adjustRightInd w:val="0"/>
        <w:snapToGrid w:val="0"/>
        <w:spacing w:line="360" w:lineRule="auto"/>
        <w:rPr>
          <w:rFonts w:ascii="Times New Roman" w:hAnsi="Times New Roman" w:cs="Times New Roman"/>
          <w:color w:val="333333"/>
          <w:sz w:val="32"/>
          <w:szCs w:val="32"/>
        </w:rPr>
      </w:pPr>
      <w:bookmarkStart w:id="5" w:name="_Toc102642468"/>
      <w:bookmarkStart w:id="6" w:name="_Toc141689331"/>
      <w:r>
        <w:rPr>
          <w:rFonts w:cs="Times New Roman" w:hint="eastAsia"/>
          <w:color w:val="333333"/>
          <w:sz w:val="24"/>
          <w:szCs w:val="24"/>
        </w:rPr>
        <w:t>让“动态清零”成为一种行动自觉</w:t>
      </w:r>
      <w:bookmarkEnd w:id="5"/>
      <w:bookmarkEnd w:id="6"/>
    </w:p>
    <w:p w:rsidR="00F7111C" w:rsidRDefault="00F7111C" w:rsidP="00F7111C">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(2022-05-05    </w:t>
      </w:r>
      <w:r>
        <w:rPr>
          <w:rFonts w:cs="Times New Roman" w:hint="eastAsia"/>
          <w:color w:val="333333"/>
          <w:szCs w:val="21"/>
        </w:rPr>
        <w:t>光明日报</w:t>
      </w:r>
      <w:r>
        <w:rPr>
          <w:rFonts w:cs="Times New Roman" w:hint="eastAsia"/>
          <w:color w:val="333333"/>
          <w:szCs w:val="21"/>
        </w:rPr>
        <w:t>)</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4</w:t>
      </w:r>
      <w:r>
        <w:rPr>
          <w:rFonts w:cs="Times New Roman" w:hint="eastAsia"/>
          <w:color w:val="333333"/>
          <w:szCs w:val="21"/>
        </w:rPr>
        <w:t>月</w:t>
      </w:r>
      <w:r>
        <w:rPr>
          <w:rFonts w:ascii="微软雅黑" w:eastAsia="微软雅黑" w:hAnsi="微软雅黑" w:cs="Times New Roman" w:hint="eastAsia"/>
          <w:color w:val="333333"/>
          <w:szCs w:val="21"/>
        </w:rPr>
        <w:t>28</w:t>
      </w:r>
      <w:r>
        <w:rPr>
          <w:rFonts w:cs="Times New Roman" w:hint="eastAsia"/>
          <w:color w:val="333333"/>
          <w:szCs w:val="21"/>
        </w:rPr>
        <w:t>日，国务院联防联控机制召开新闻发布会，国家卫健委新闻发言人表示，要始终坚持“动态清零”总方针不犹豫、不动摇，杜绝麻痹大意，严防“跑冒滴漏”，管住重点地区、重点人群，切断疫情传播链条。要聚焦重点流程环节，科学精细组织实施，防止政策执行极端化、机械化，防止层层加码。</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当前，吉林省各市州均实现疫情防控社会面清零目标，上海疫情防控形势总体稳中向好，社会面基本清零的区域明显增多。放眼国内，治愈出院的本土病例和解除医学观察的本土无症状感染者数量也在不断增加。这些都说明，我们不仅有信心而且有能力尽早实现社会面清零，“动态清零”总方针既是科学的，也是有效的。</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中国疾控中心流行病学首席专家吴尊友表示，“动态清零”与“零感染”有着本质区别。“动态清零”是对发生的新冠肺炎疫情，发现一起、扑灭一起。疫情发现得越早，疫情规模越小，就越容易做到“动态清零”。作为目前控制新冠肺炎疫情最经济、最有效的防控策略，“动态清零”符合当下的疫情传播规律。奥密克戎变异株传染性强、传播速度快、传播过程隐蔽，但只要守住了“动态清零”的底线，就能最大限度压缩病毒传播的空间，守住公共安全的防线。</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显而易见，越早发现疫情，越容易以最小的成本实现“动态清零”。然而，奥密克戎变异株的传播特点，又使其很难被及时发现。在与病毒赛跑的过程中，公众的安全意识和防护意识就显得格外重要。</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4</w:t>
      </w:r>
      <w:r>
        <w:rPr>
          <w:rFonts w:cs="Times New Roman" w:hint="eastAsia"/>
          <w:color w:val="333333"/>
          <w:szCs w:val="21"/>
        </w:rPr>
        <w:t>月</w:t>
      </w:r>
      <w:r>
        <w:rPr>
          <w:rFonts w:ascii="微软雅黑" w:eastAsia="微软雅黑" w:hAnsi="微软雅黑" w:cs="Times New Roman" w:hint="eastAsia"/>
          <w:color w:val="333333"/>
          <w:szCs w:val="21"/>
        </w:rPr>
        <w:t>28</w:t>
      </w:r>
      <w:r>
        <w:rPr>
          <w:rFonts w:cs="Times New Roman" w:hint="eastAsia"/>
          <w:color w:val="333333"/>
          <w:szCs w:val="21"/>
        </w:rPr>
        <w:t>日，北京市疫情防控工作新闻发布会上传出消息，自</w:t>
      </w:r>
      <w:r>
        <w:rPr>
          <w:rFonts w:ascii="微软雅黑" w:eastAsia="微软雅黑" w:hAnsi="微软雅黑" w:cs="Times New Roman" w:hint="eastAsia"/>
          <w:color w:val="333333"/>
          <w:szCs w:val="21"/>
        </w:rPr>
        <w:t>4</w:t>
      </w:r>
      <w:r>
        <w:rPr>
          <w:rFonts w:cs="Times New Roman" w:hint="eastAsia"/>
          <w:color w:val="333333"/>
          <w:szCs w:val="21"/>
        </w:rPr>
        <w:t>月</w:t>
      </w:r>
      <w:r>
        <w:rPr>
          <w:rFonts w:ascii="微软雅黑" w:eastAsia="微软雅黑" w:hAnsi="微软雅黑" w:cs="Times New Roman" w:hint="eastAsia"/>
          <w:color w:val="333333"/>
          <w:szCs w:val="21"/>
        </w:rPr>
        <w:t>22</w:t>
      </w:r>
      <w:r>
        <w:rPr>
          <w:rFonts w:cs="Times New Roman" w:hint="eastAsia"/>
          <w:color w:val="333333"/>
          <w:szCs w:val="21"/>
        </w:rPr>
        <w:t>日以来，北京累计报告</w:t>
      </w:r>
      <w:r>
        <w:rPr>
          <w:rFonts w:ascii="微软雅黑" w:eastAsia="微软雅黑" w:hAnsi="微软雅黑" w:cs="Times New Roman" w:hint="eastAsia"/>
          <w:color w:val="333333"/>
          <w:szCs w:val="21"/>
        </w:rPr>
        <w:t>194</w:t>
      </w:r>
      <w:r>
        <w:rPr>
          <w:rFonts w:cs="Times New Roman" w:hint="eastAsia"/>
          <w:color w:val="333333"/>
          <w:szCs w:val="21"/>
        </w:rPr>
        <w:t>例新冠病毒感染者。对已经明确感染途径和传播关系的</w:t>
      </w:r>
      <w:r>
        <w:rPr>
          <w:rFonts w:ascii="微软雅黑" w:eastAsia="微软雅黑" w:hAnsi="微软雅黑" w:cs="Times New Roman" w:hint="eastAsia"/>
          <w:color w:val="333333"/>
          <w:szCs w:val="21"/>
        </w:rPr>
        <w:t>171</w:t>
      </w:r>
      <w:r>
        <w:rPr>
          <w:rFonts w:cs="Times New Roman" w:hint="eastAsia"/>
          <w:color w:val="333333"/>
          <w:szCs w:val="21"/>
        </w:rPr>
        <w:t>例感染者进行初步分析，近一半感染者与聚餐相关。这无疑是一个值得警惕的信号——北京的感染病例数据正处于增长期，稍有</w:t>
      </w:r>
      <w:r>
        <w:rPr>
          <w:rFonts w:cs="Times New Roman" w:hint="eastAsia"/>
          <w:color w:val="333333"/>
          <w:szCs w:val="21"/>
        </w:rPr>
        <w:lastRenderedPageBreak/>
        <w:t>疏忽就可能给病毒留下可乘之机。</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针对奥密克戎变异株的传播特点，疾控专家表示，如果出现社区传播，感染病例数据在</w:t>
      </w:r>
      <w:r>
        <w:rPr>
          <w:rFonts w:ascii="微软雅黑" w:eastAsia="微软雅黑" w:hAnsi="微软雅黑" w:cs="Times New Roman" w:hint="eastAsia"/>
          <w:color w:val="333333"/>
          <w:szCs w:val="21"/>
        </w:rPr>
        <w:t>2</w:t>
      </w:r>
      <w:r>
        <w:rPr>
          <w:rFonts w:cs="Times New Roman" w:hint="eastAsia"/>
          <w:color w:val="333333"/>
          <w:szCs w:val="21"/>
        </w:rPr>
        <w:t>到</w:t>
      </w:r>
      <w:r>
        <w:rPr>
          <w:rFonts w:ascii="微软雅黑" w:eastAsia="微软雅黑" w:hAnsi="微软雅黑" w:cs="Times New Roman" w:hint="eastAsia"/>
          <w:color w:val="333333"/>
          <w:szCs w:val="21"/>
        </w:rPr>
        <w:t>3</w:t>
      </w:r>
      <w:r>
        <w:rPr>
          <w:rFonts w:cs="Times New Roman" w:hint="eastAsia"/>
          <w:color w:val="333333"/>
          <w:szCs w:val="21"/>
        </w:rPr>
        <w:t>天内就可以翻倍。这并不是简单的推测，而是沉重的现实：一些地方因对疫情形势认识不足、研判不准，导致疫情出现聚集性传播，甚至造成规模性反弹。坚持“动态清零”总方针不动摇，首先就要杜绝麻痹大意的心理，抓早抓小、抓细抓实，为疫情防控赢得时间，为阻断疫情传播创造空间。</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值得一提的是，在“动态清零”的过程中，需要清零的不只是病毒。疫情之下，保供应就是保民生，稳物资就是稳民心，其中关键在于畅通物流运输。除此之外，有必要加强物资采购、管理、发放各个环节的监督检查力度，对不作为、慢作为、乱作为等违法违纪行为进行严肃处理，以保障有力的物资供应，稳定民生、坚定民心。</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疫情防控之中，寻医问诊格外令人牵肠挂肚。秉承生命至上的理念，“动态清零”是不应动摇的总方针，在此过程中，应采取切实有效的措施，千方百计保障群众就医需求。做好信息收集整理、完善快速响应机制，将阻碍就医的堵点清除，才能为患者赢得时间。</w:t>
      </w:r>
    </w:p>
    <w:p w:rsidR="00F7111C" w:rsidRDefault="00F7111C" w:rsidP="00F711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以精准的公共服务消除各类民生堵点，有助于进一步增强全民战疫的信心，让“动态清零”成为一种行动自觉，从而构筑起群防群控的坚实防线。</w:t>
      </w:r>
    </w:p>
    <w:p w:rsidR="00F7111C" w:rsidRDefault="00F7111C" w:rsidP="00F7111C">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hyperlink r:id="rId7" w:history="1">
        <w:r>
          <w:rPr>
            <w:rStyle w:val="a4"/>
            <w:rFonts w:ascii="微软雅黑" w:eastAsia="微软雅黑" w:hAnsi="微软雅黑" w:cs="Times New Roman" w:hint="eastAsia"/>
            <w:color w:val="800080"/>
            <w:szCs w:val="21"/>
          </w:rPr>
          <w:t>http://health.people.com.cn/n1/2022/0505/c14739-32414216.html</w:t>
        </w:r>
      </w:hyperlink>
    </w:p>
    <w:p w:rsidR="00F7111C" w:rsidRDefault="00F7111C" w:rsidP="00941891">
      <w:pPr>
        <w:pStyle w:val="1"/>
        <w:adjustRightInd w:val="0"/>
        <w:snapToGrid w:val="0"/>
        <w:spacing w:line="360" w:lineRule="auto"/>
        <w:rPr>
          <w:rFonts w:ascii="Times New Roman" w:hAnsi="Times New Roman" w:cs="Times New Roman"/>
          <w:color w:val="333333"/>
          <w:sz w:val="32"/>
          <w:szCs w:val="32"/>
        </w:rPr>
      </w:pPr>
      <w:bookmarkStart w:id="7" w:name="_Toc102814645"/>
      <w:bookmarkStart w:id="8" w:name="_Toc141689332"/>
      <w:r>
        <w:rPr>
          <w:rFonts w:cs="Times New Roman" w:hint="eastAsia"/>
          <w:color w:val="333333"/>
          <w:sz w:val="24"/>
          <w:szCs w:val="24"/>
        </w:rPr>
        <w:t>四川启动银龄健康工程</w:t>
      </w:r>
      <w:bookmarkEnd w:id="7"/>
      <w:bookmarkEnd w:id="8"/>
    </w:p>
    <w:p w:rsidR="00F7111C" w:rsidRDefault="00F7111C" w:rsidP="00941891">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(2022-05-06    </w:t>
      </w:r>
      <w:r>
        <w:rPr>
          <w:rFonts w:cs="Times New Roman" w:hint="eastAsia"/>
          <w:color w:val="333333"/>
          <w:szCs w:val="21"/>
        </w:rPr>
        <w:t>健康报</w:t>
      </w:r>
      <w:r>
        <w:rPr>
          <w:rFonts w:cs="Times New Roman" w:hint="eastAsia"/>
          <w:color w:val="333333"/>
          <w:szCs w:val="21"/>
        </w:rPr>
        <w:t>)</w:t>
      </w:r>
    </w:p>
    <w:p w:rsidR="00F7111C" w:rsidRDefault="00F7111C" w:rsidP="00941891">
      <w:pPr>
        <w:shd w:val="clear" w:color="auto" w:fill="FFFFFF"/>
        <w:adjustRightInd w:val="0"/>
        <w:snapToGrid w:val="0"/>
        <w:spacing w:line="360" w:lineRule="auto"/>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近日，四川省卫生健康委、中医药管理局印发《四川省银龄健康工程</w:t>
      </w:r>
      <w:r>
        <w:rPr>
          <w:rFonts w:ascii="微软雅黑" w:eastAsia="微软雅黑" w:hAnsi="微软雅黑" w:cs="Times New Roman" w:hint="eastAsia"/>
          <w:color w:val="333333"/>
          <w:szCs w:val="21"/>
        </w:rPr>
        <w:t>2022</w:t>
      </w:r>
      <w:r>
        <w:rPr>
          <w:rFonts w:cs="Times New Roman" w:hint="eastAsia"/>
          <w:color w:val="333333"/>
          <w:szCs w:val="21"/>
        </w:rPr>
        <w:t>年工作方案》，明确到</w:t>
      </w:r>
      <w:r>
        <w:rPr>
          <w:rFonts w:ascii="微软雅黑" w:eastAsia="微软雅黑" w:hAnsi="微软雅黑" w:cs="Times New Roman" w:hint="eastAsia"/>
          <w:color w:val="333333"/>
          <w:szCs w:val="21"/>
        </w:rPr>
        <w:t>2022</w:t>
      </w:r>
      <w:r>
        <w:rPr>
          <w:rFonts w:cs="Times New Roman" w:hint="eastAsia"/>
          <w:color w:val="333333"/>
          <w:szCs w:val="21"/>
        </w:rPr>
        <w:t>年年底，要为至少</w:t>
      </w:r>
      <w:r>
        <w:rPr>
          <w:rFonts w:ascii="微软雅黑" w:eastAsia="微软雅黑" w:hAnsi="微软雅黑" w:cs="Times New Roman" w:hint="eastAsia"/>
          <w:color w:val="333333"/>
          <w:szCs w:val="21"/>
        </w:rPr>
        <w:t>650</w:t>
      </w:r>
      <w:r>
        <w:rPr>
          <w:rFonts w:cs="Times New Roman" w:hint="eastAsia"/>
          <w:color w:val="333333"/>
          <w:szCs w:val="21"/>
        </w:rPr>
        <w:t>万名</w:t>
      </w:r>
      <w:r>
        <w:rPr>
          <w:rFonts w:ascii="微软雅黑" w:eastAsia="微软雅黑" w:hAnsi="微软雅黑" w:cs="Times New Roman" w:hint="eastAsia"/>
          <w:color w:val="333333"/>
          <w:szCs w:val="21"/>
        </w:rPr>
        <w:t>65</w:t>
      </w:r>
      <w:r>
        <w:rPr>
          <w:rFonts w:cs="Times New Roman" w:hint="eastAsia"/>
          <w:color w:val="333333"/>
          <w:szCs w:val="21"/>
        </w:rPr>
        <w:t>岁及以上老年人提供免费健康管理服务，为</w:t>
      </w:r>
      <w:r>
        <w:rPr>
          <w:rFonts w:ascii="微软雅黑" w:eastAsia="微软雅黑" w:hAnsi="微软雅黑" w:cs="Times New Roman" w:hint="eastAsia"/>
          <w:color w:val="333333"/>
          <w:szCs w:val="21"/>
        </w:rPr>
        <w:t>20</w:t>
      </w:r>
      <w:r>
        <w:rPr>
          <w:rFonts w:cs="Times New Roman" w:hint="eastAsia"/>
          <w:color w:val="333333"/>
          <w:szCs w:val="21"/>
        </w:rPr>
        <w:t>万名提出申请的</w:t>
      </w:r>
      <w:r>
        <w:rPr>
          <w:rFonts w:ascii="微软雅黑" w:eastAsia="微软雅黑" w:hAnsi="微软雅黑" w:cs="Times New Roman" w:hint="eastAsia"/>
          <w:color w:val="333333"/>
          <w:szCs w:val="21"/>
        </w:rPr>
        <w:t>65</w:t>
      </w:r>
      <w:r>
        <w:rPr>
          <w:rFonts w:cs="Times New Roman" w:hint="eastAsia"/>
          <w:color w:val="333333"/>
          <w:szCs w:val="21"/>
        </w:rPr>
        <w:t>岁及以上失能老年人提供不少于两次免费上门健康服务；二级及以上综合性医院设立老年医学科比例达到</w:t>
      </w:r>
      <w:r>
        <w:rPr>
          <w:rFonts w:ascii="微软雅黑" w:eastAsia="微软雅黑" w:hAnsi="微软雅黑" w:cs="Times New Roman" w:hint="eastAsia"/>
          <w:color w:val="333333"/>
          <w:szCs w:val="21"/>
        </w:rPr>
        <w:t>50%</w:t>
      </w:r>
      <w:r>
        <w:rPr>
          <w:rFonts w:cs="Times New Roman" w:hint="eastAsia"/>
          <w:color w:val="333333"/>
          <w:szCs w:val="21"/>
        </w:rPr>
        <w:t>以上，二级综合医院康复医学科设置率达到</w:t>
      </w:r>
      <w:r>
        <w:rPr>
          <w:rFonts w:ascii="微软雅黑" w:eastAsia="微软雅黑" w:hAnsi="微软雅黑" w:cs="Times New Roman" w:hint="eastAsia"/>
          <w:color w:val="333333"/>
          <w:szCs w:val="21"/>
        </w:rPr>
        <w:t>60%</w:t>
      </w:r>
      <w:r>
        <w:rPr>
          <w:rFonts w:cs="Times New Roman" w:hint="eastAsia"/>
          <w:color w:val="333333"/>
          <w:szCs w:val="21"/>
        </w:rPr>
        <w:t>，建成</w:t>
      </w:r>
      <w:r>
        <w:rPr>
          <w:rFonts w:ascii="微软雅黑" w:eastAsia="微软雅黑" w:hAnsi="微软雅黑" w:cs="Times New Roman" w:hint="eastAsia"/>
          <w:color w:val="333333"/>
          <w:szCs w:val="21"/>
        </w:rPr>
        <w:t>150</w:t>
      </w:r>
      <w:r>
        <w:rPr>
          <w:rFonts w:cs="Times New Roman" w:hint="eastAsia"/>
          <w:color w:val="333333"/>
          <w:szCs w:val="21"/>
        </w:rPr>
        <w:t>家医养服务中心，每个市（州）至少</w:t>
      </w:r>
      <w:r>
        <w:rPr>
          <w:rFonts w:ascii="微软雅黑" w:eastAsia="微软雅黑" w:hAnsi="微软雅黑" w:cs="Times New Roman" w:hint="eastAsia"/>
          <w:color w:val="333333"/>
          <w:szCs w:val="21"/>
        </w:rPr>
        <w:t>2</w:t>
      </w:r>
      <w:r>
        <w:rPr>
          <w:rFonts w:cs="Times New Roman" w:hint="eastAsia"/>
          <w:color w:val="333333"/>
          <w:szCs w:val="21"/>
        </w:rPr>
        <w:t>家医疗机构可开展老年人居家医疗服务。</w:t>
      </w:r>
    </w:p>
    <w:p w:rsidR="00F7111C" w:rsidRDefault="00F7111C" w:rsidP="00941891">
      <w:pPr>
        <w:shd w:val="clear" w:color="auto" w:fill="FFFFFF"/>
        <w:adjustRightInd w:val="0"/>
        <w:snapToGrid w:val="0"/>
        <w:spacing w:line="360" w:lineRule="auto"/>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《方案》提出</w:t>
      </w:r>
      <w:r>
        <w:rPr>
          <w:rFonts w:ascii="微软雅黑" w:eastAsia="微软雅黑" w:hAnsi="微软雅黑" w:cs="Times New Roman" w:hint="eastAsia"/>
          <w:color w:val="333333"/>
          <w:szCs w:val="21"/>
        </w:rPr>
        <w:t>5</w:t>
      </w:r>
      <w:r>
        <w:rPr>
          <w:rFonts w:cs="Times New Roman" w:hint="eastAsia"/>
          <w:color w:val="333333"/>
          <w:szCs w:val="21"/>
        </w:rPr>
        <w:t>项重点任务：一是加强老年预防保健，扩大家庭医生签约服务供给，健全签约服务收费政策；二是便利老年人看病就医，探索开展老年人居家医疗服务；三是大力发展老年康复护理服务，加强二级以上综合医院康复医学科建设，推广应用中医药康复适宜技术；四是加快推进医养结合示范省建设，支持一批医养服务中心建设，启动失能老年人“健康敲门行动”；五是提高安宁疗护服务能力，推动医疗机构建设安宁疗护中心，鼓励有条件的医疗机构设立安宁疗护病区或床位。</w:t>
      </w:r>
    </w:p>
    <w:p w:rsidR="00F7111C" w:rsidRDefault="00F7111C" w:rsidP="00941891">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lastRenderedPageBreak/>
        <w:t>摘引网址</w:t>
      </w:r>
      <w:r>
        <w:rPr>
          <w:rFonts w:ascii="微软雅黑" w:eastAsia="微软雅黑" w:hAnsi="微软雅黑" w:cs="Times New Roman" w:hint="eastAsia"/>
          <w:color w:val="333333"/>
          <w:szCs w:val="21"/>
        </w:rPr>
        <w:t>:</w:t>
      </w:r>
      <w:hyperlink r:id="rId8" w:history="1">
        <w:r>
          <w:rPr>
            <w:rStyle w:val="a4"/>
            <w:rFonts w:ascii="微软雅黑" w:eastAsia="微软雅黑" w:hAnsi="微软雅黑" w:cs="Times New Roman" w:hint="eastAsia"/>
            <w:color w:val="800080"/>
            <w:szCs w:val="21"/>
          </w:rPr>
          <w:t>https://www.jkb.com.cn/news/industryNews/2022/0506/484647.html</w:t>
        </w:r>
      </w:hyperlink>
    </w:p>
    <w:p w:rsidR="00941891" w:rsidRDefault="00941891" w:rsidP="00941891">
      <w:pPr>
        <w:pStyle w:val="1"/>
        <w:rPr>
          <w:rFonts w:ascii="Times New Roman" w:hAnsi="Times New Roman" w:cs="Times New Roman"/>
          <w:color w:val="333333"/>
          <w:sz w:val="32"/>
          <w:szCs w:val="32"/>
        </w:rPr>
      </w:pPr>
      <w:bookmarkStart w:id="9" w:name="_Toc102814652"/>
      <w:bookmarkStart w:id="10" w:name="_Toc141689333"/>
      <w:r>
        <w:rPr>
          <w:rFonts w:cs="Times New Roman" w:hint="eastAsia"/>
          <w:color w:val="333333"/>
          <w:sz w:val="24"/>
          <w:szCs w:val="24"/>
        </w:rPr>
        <w:t>科学家建立一种实现肺癌检测、分型及伴随诊断的技术平台</w:t>
      </w:r>
      <w:bookmarkEnd w:id="9"/>
      <w:bookmarkEnd w:id="10"/>
    </w:p>
    <w:p w:rsidR="00941891" w:rsidRDefault="00941891" w:rsidP="00941891">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(2022-05-06    </w:t>
      </w:r>
      <w:r>
        <w:rPr>
          <w:rFonts w:cs="Times New Roman" w:hint="eastAsia"/>
          <w:color w:val="333333"/>
          <w:szCs w:val="21"/>
        </w:rPr>
        <w:t>科技部生物中心</w:t>
      </w:r>
      <w:r>
        <w:rPr>
          <w:rFonts w:cs="Times New Roman" w:hint="eastAsia"/>
          <w:color w:val="333333"/>
          <w:szCs w:val="21"/>
        </w:rPr>
        <w:t>)</w:t>
      </w:r>
    </w:p>
    <w:p w:rsidR="00941891" w:rsidRDefault="00941891" w:rsidP="00941891">
      <w:pPr>
        <w:shd w:val="clear" w:color="auto" w:fill="FFFFFF"/>
        <w:adjustRightInd w:val="0"/>
        <w:snapToGrid w:val="0"/>
        <w:spacing w:line="360" w:lineRule="auto"/>
        <w:rPr>
          <w:rFonts w:ascii="Times New Roman" w:hAnsi="Times New Roman" w:cs="Times New Roman"/>
          <w:color w:val="333333"/>
          <w:szCs w:val="21"/>
        </w:rPr>
      </w:pPr>
      <w:r>
        <w:rPr>
          <w:rFonts w:ascii="Times New Roman" w:hAnsi="Times New Roman" w:cs="Times New Roman"/>
          <w:color w:val="333333"/>
          <w:szCs w:val="21"/>
        </w:rPr>
        <w:t> </w:t>
      </w:r>
    </w:p>
    <w:p w:rsidR="00941891" w:rsidRDefault="00941891" w:rsidP="00941891">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肺癌的发病率和致死率均位居恶性肿瘤前列，据估计，全球每年有</w:t>
      </w:r>
      <w:r>
        <w:rPr>
          <w:rFonts w:ascii="微软雅黑" w:eastAsia="微软雅黑" w:hAnsi="微软雅黑" w:cs="Times New Roman" w:hint="eastAsia"/>
          <w:color w:val="333333"/>
          <w:szCs w:val="21"/>
        </w:rPr>
        <w:t>180</w:t>
      </w:r>
      <w:r>
        <w:rPr>
          <w:rFonts w:cs="Times New Roman" w:hint="eastAsia"/>
          <w:color w:val="333333"/>
          <w:szCs w:val="21"/>
        </w:rPr>
        <w:t>万人死于肺癌。根据肺癌的分化程度、形态特征和生物学特点，目前将肺癌分为两大类，即小细胞肺癌和非小细胞肺癌，后者包括鳞状细胞癌、腺癌、大细胞癌等。肿瘤疾病的检测、分型和伴随诊断是临床疾病控制的关键要素，能够高性能检测并同时实现肺癌的分型、药物治疗的伴随诊断的检测工具有重要的价值。</w:t>
      </w:r>
    </w:p>
    <w:p w:rsidR="00941891" w:rsidRDefault="00941891" w:rsidP="00941891">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近日，美国斯坦福大学研究团队在《</w:t>
      </w:r>
      <w:r>
        <w:rPr>
          <w:rFonts w:ascii="微软雅黑" w:eastAsia="微软雅黑" w:hAnsi="微软雅黑" w:cs="Times New Roman" w:hint="eastAsia"/>
          <w:color w:val="333333"/>
          <w:szCs w:val="21"/>
        </w:rPr>
        <w:t>Nature Biotechnology</w:t>
      </w:r>
      <w:r>
        <w:rPr>
          <w:rFonts w:cs="Times New Roman" w:hint="eastAsia"/>
          <w:color w:val="333333"/>
          <w:szCs w:val="21"/>
        </w:rPr>
        <w:t>》发表题为“</w:t>
      </w:r>
      <w:r>
        <w:rPr>
          <w:rFonts w:ascii="微软雅黑" w:eastAsia="微软雅黑" w:hAnsi="微软雅黑" w:cs="Times New Roman" w:hint="eastAsia"/>
          <w:color w:val="333333"/>
          <w:szCs w:val="21"/>
        </w:rPr>
        <w:t>Inferring gene expression from cell-free DNA fragmentation profiles</w:t>
      </w:r>
      <w:r>
        <w:rPr>
          <w:rFonts w:cs="Times New Roman" w:hint="eastAsia"/>
          <w:color w:val="333333"/>
          <w:szCs w:val="21"/>
        </w:rPr>
        <w:t>”的文章，该团队基于游离</w:t>
      </w:r>
      <w:r>
        <w:rPr>
          <w:rFonts w:ascii="微软雅黑" w:eastAsia="微软雅黑" w:hAnsi="微软雅黑" w:cs="Times New Roman" w:hint="eastAsia"/>
          <w:color w:val="333333"/>
          <w:szCs w:val="21"/>
        </w:rPr>
        <w:t>DNA</w:t>
      </w:r>
      <w:r>
        <w:rPr>
          <w:rFonts w:cs="Times New Roman" w:hint="eastAsia"/>
          <w:color w:val="333333"/>
          <w:szCs w:val="21"/>
        </w:rPr>
        <w:t>测序的多基因表达水平分析建立了无细胞</w:t>
      </w:r>
      <w:r>
        <w:rPr>
          <w:rFonts w:ascii="微软雅黑" w:eastAsia="微软雅黑" w:hAnsi="微软雅黑" w:cs="Times New Roman" w:hint="eastAsia"/>
          <w:color w:val="333333"/>
          <w:szCs w:val="21"/>
        </w:rPr>
        <w:t>DNA</w:t>
      </w:r>
      <w:r>
        <w:rPr>
          <w:rFonts w:cs="Times New Roman" w:hint="eastAsia"/>
          <w:color w:val="333333"/>
          <w:szCs w:val="21"/>
        </w:rPr>
        <w:t>测序的表观遗传表达推断</w:t>
      </w:r>
      <w:r>
        <w:rPr>
          <w:rFonts w:ascii="微软雅黑" w:eastAsia="微软雅黑" w:hAnsi="微软雅黑" w:cs="Times New Roman" w:hint="eastAsia"/>
          <w:color w:val="333333"/>
          <w:szCs w:val="21"/>
        </w:rPr>
        <w:t>(EPIC-seq)</w:t>
      </w:r>
      <w:r>
        <w:rPr>
          <w:rFonts w:cs="Times New Roman" w:hint="eastAsia"/>
          <w:color w:val="333333"/>
          <w:szCs w:val="21"/>
        </w:rPr>
        <w:t>技术平台，通过对几十个基因表达水平的检测，可以同时实现肿瘤的检测、分型和伴随诊断。</w:t>
      </w:r>
    </w:p>
    <w:p w:rsidR="00941891" w:rsidRDefault="00941891" w:rsidP="00941891">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研究团队分析发现基因启动子相关游离</w:t>
      </w:r>
      <w:r>
        <w:rPr>
          <w:rFonts w:ascii="微软雅黑" w:eastAsia="微软雅黑" w:hAnsi="微软雅黑" w:cs="Times New Roman" w:hint="eastAsia"/>
          <w:color w:val="333333"/>
          <w:szCs w:val="21"/>
        </w:rPr>
        <w:t>DNA</w:t>
      </w:r>
      <w:r>
        <w:rPr>
          <w:rFonts w:cs="Times New Roman" w:hint="eastAsia"/>
          <w:color w:val="333333"/>
          <w:szCs w:val="21"/>
        </w:rPr>
        <w:t>的长度多样性越丰富则基因的表达越活跃，因此通过高通量测序分析游离</w:t>
      </w:r>
      <w:r>
        <w:rPr>
          <w:rFonts w:ascii="微软雅黑" w:eastAsia="微软雅黑" w:hAnsi="微软雅黑" w:cs="Times New Roman" w:hint="eastAsia"/>
          <w:color w:val="333333"/>
          <w:szCs w:val="21"/>
        </w:rPr>
        <w:t>DNA</w:t>
      </w:r>
      <w:r>
        <w:rPr>
          <w:rFonts w:cs="Times New Roman" w:hint="eastAsia"/>
          <w:color w:val="333333"/>
          <w:szCs w:val="21"/>
        </w:rPr>
        <w:t>可同时获得几十个基因的转录水平相关信息，进而实现更高灵敏度、更高特异性的疾病检测、分型，同时对药物作用靶点进行分析实现伴随诊断。该研究分析了</w:t>
      </w:r>
      <w:r>
        <w:rPr>
          <w:rFonts w:ascii="微软雅黑" w:eastAsia="微软雅黑" w:hAnsi="微软雅黑" w:cs="Times New Roman" w:hint="eastAsia"/>
          <w:color w:val="333333"/>
          <w:szCs w:val="21"/>
        </w:rPr>
        <w:t>87</w:t>
      </w:r>
      <w:r>
        <w:rPr>
          <w:rFonts w:cs="Times New Roman" w:hint="eastAsia"/>
          <w:color w:val="333333"/>
          <w:szCs w:val="21"/>
        </w:rPr>
        <w:t>位肺癌患者和</w:t>
      </w:r>
      <w:r>
        <w:rPr>
          <w:rFonts w:ascii="微软雅黑" w:eastAsia="微软雅黑" w:hAnsi="微软雅黑" w:cs="Times New Roman" w:hint="eastAsia"/>
          <w:color w:val="333333"/>
          <w:szCs w:val="21"/>
        </w:rPr>
        <w:t>87</w:t>
      </w:r>
      <w:r>
        <w:rPr>
          <w:rFonts w:cs="Times New Roman" w:hint="eastAsia"/>
          <w:color w:val="333333"/>
          <w:szCs w:val="21"/>
        </w:rPr>
        <w:t>名健康人的外周血液样本，成功实现了肺癌的检测、分型和免疫检查点药物的伴随诊断。</w:t>
      </w:r>
    </w:p>
    <w:p w:rsidR="00941891" w:rsidRDefault="00941891" w:rsidP="00941891">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该研究为基因转录水平的多靶标联合检测拓宽了思路，同时也为提升临床肿瘤诊断特异性和灵敏度提供了更优的技术平台，是一种具备应用潜力的检测方法。</w:t>
      </w:r>
    </w:p>
    <w:p w:rsidR="00941891" w:rsidRDefault="00941891" w:rsidP="00941891">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9" w:history="1">
        <w:r>
          <w:rPr>
            <w:rStyle w:val="a4"/>
            <w:rFonts w:ascii="微软雅黑" w:eastAsia="微软雅黑" w:hAnsi="微软雅黑" w:cs="Times New Roman" w:hint="eastAsia"/>
            <w:color w:val="800080"/>
            <w:szCs w:val="21"/>
          </w:rPr>
          <w:t>https://news.bioon.com/article/bd3be259622c.html</w:t>
        </w:r>
      </w:hyperlink>
    </w:p>
    <w:p w:rsidR="003D5CC1" w:rsidRPr="00941891" w:rsidRDefault="003D5CC1" w:rsidP="00941891">
      <w:pPr>
        <w:shd w:val="clear" w:color="auto" w:fill="FFFFFF"/>
        <w:adjustRightInd w:val="0"/>
        <w:snapToGrid w:val="0"/>
        <w:spacing w:line="360" w:lineRule="auto"/>
        <w:ind w:firstLine="390"/>
        <w:rPr>
          <w:rFonts w:asciiTheme="minorEastAsia" w:hAnsiTheme="minorEastAsia" w:cs="Times New Roman"/>
          <w:color w:val="333333"/>
          <w:szCs w:val="21"/>
        </w:rPr>
      </w:pPr>
    </w:p>
    <w:sectPr w:rsidR="003D5CC1" w:rsidRPr="00941891" w:rsidSect="00D93881">
      <w:footerReference w:type="default" r:id="rId10"/>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631" w:rsidRDefault="00123631" w:rsidP="003C6FFE">
      <w:r>
        <w:separator/>
      </w:r>
    </w:p>
  </w:endnote>
  <w:endnote w:type="continuationSeparator" w:id="1">
    <w:p w:rsidR="00123631" w:rsidRDefault="00123631"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D51C69" w:rsidP="002F2290">
        <w:pPr>
          <w:pStyle w:val="a3"/>
          <w:jc w:val="center"/>
        </w:pPr>
        <w:r>
          <w:fldChar w:fldCharType="begin"/>
        </w:r>
        <w:r w:rsidR="00726786">
          <w:instrText xml:space="preserve"> PAGE   \* MERGEFORMAT </w:instrText>
        </w:r>
        <w:r>
          <w:fldChar w:fldCharType="separate"/>
        </w:r>
        <w:r w:rsidR="00941891" w:rsidRPr="00941891">
          <w:rPr>
            <w:noProof/>
            <w:lang w:val="zh-CN"/>
          </w:rPr>
          <w:t>4</w:t>
        </w:r>
        <w:r>
          <w:fldChar w:fldCharType="end"/>
        </w:r>
      </w:p>
    </w:sdtContent>
  </w:sdt>
  <w:p w:rsidR="002F2290" w:rsidRDefault="0012363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631" w:rsidRDefault="00123631" w:rsidP="003C6FFE">
      <w:r>
        <w:separator/>
      </w:r>
    </w:p>
  </w:footnote>
  <w:footnote w:type="continuationSeparator" w:id="1">
    <w:p w:rsidR="00123631" w:rsidRDefault="00123631"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62302"/>
    <w:rsid w:val="000F1BBC"/>
    <w:rsid w:val="00113C14"/>
    <w:rsid w:val="001215D4"/>
    <w:rsid w:val="00123631"/>
    <w:rsid w:val="00143509"/>
    <w:rsid w:val="0015344F"/>
    <w:rsid w:val="001537DE"/>
    <w:rsid w:val="001A11A0"/>
    <w:rsid w:val="001B3B90"/>
    <w:rsid w:val="001D7C22"/>
    <w:rsid w:val="0022653B"/>
    <w:rsid w:val="002270A5"/>
    <w:rsid w:val="002464A1"/>
    <w:rsid w:val="00250452"/>
    <w:rsid w:val="00251D95"/>
    <w:rsid w:val="002578F8"/>
    <w:rsid w:val="002E5E98"/>
    <w:rsid w:val="00363555"/>
    <w:rsid w:val="003A3475"/>
    <w:rsid w:val="003C04B8"/>
    <w:rsid w:val="003C6FFE"/>
    <w:rsid w:val="003D5CC1"/>
    <w:rsid w:val="003F654F"/>
    <w:rsid w:val="00423756"/>
    <w:rsid w:val="0043442B"/>
    <w:rsid w:val="0049345A"/>
    <w:rsid w:val="004A5F0F"/>
    <w:rsid w:val="004B7CC3"/>
    <w:rsid w:val="005A2E73"/>
    <w:rsid w:val="005A647D"/>
    <w:rsid w:val="005F0E31"/>
    <w:rsid w:val="005F641C"/>
    <w:rsid w:val="006876AC"/>
    <w:rsid w:val="006A307B"/>
    <w:rsid w:val="006B7D3C"/>
    <w:rsid w:val="00726786"/>
    <w:rsid w:val="00752459"/>
    <w:rsid w:val="00795899"/>
    <w:rsid w:val="007C5DFF"/>
    <w:rsid w:val="00815E71"/>
    <w:rsid w:val="008256CE"/>
    <w:rsid w:val="008268B3"/>
    <w:rsid w:val="008E0E0E"/>
    <w:rsid w:val="008F6471"/>
    <w:rsid w:val="00911A6F"/>
    <w:rsid w:val="0091750A"/>
    <w:rsid w:val="00935F62"/>
    <w:rsid w:val="00941891"/>
    <w:rsid w:val="0095685E"/>
    <w:rsid w:val="00986130"/>
    <w:rsid w:val="009D3FE9"/>
    <w:rsid w:val="009F151F"/>
    <w:rsid w:val="009F7EB6"/>
    <w:rsid w:val="00A82E22"/>
    <w:rsid w:val="00AE40F0"/>
    <w:rsid w:val="00B87C18"/>
    <w:rsid w:val="00B9703D"/>
    <w:rsid w:val="00BB7068"/>
    <w:rsid w:val="00BC37C2"/>
    <w:rsid w:val="00BD3F55"/>
    <w:rsid w:val="00BE3FBA"/>
    <w:rsid w:val="00BF5C4B"/>
    <w:rsid w:val="00C138E3"/>
    <w:rsid w:val="00C21080"/>
    <w:rsid w:val="00C4097F"/>
    <w:rsid w:val="00C51691"/>
    <w:rsid w:val="00C715E7"/>
    <w:rsid w:val="00C81599"/>
    <w:rsid w:val="00CB2028"/>
    <w:rsid w:val="00D51C69"/>
    <w:rsid w:val="00D5385B"/>
    <w:rsid w:val="00D61C9A"/>
    <w:rsid w:val="00D641D2"/>
    <w:rsid w:val="00D727F5"/>
    <w:rsid w:val="00DA03DE"/>
    <w:rsid w:val="00DA3B12"/>
    <w:rsid w:val="00DD22EE"/>
    <w:rsid w:val="00E1158F"/>
    <w:rsid w:val="00E6148F"/>
    <w:rsid w:val="00EB372D"/>
    <w:rsid w:val="00ED6611"/>
    <w:rsid w:val="00F711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15886667">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508375972">
      <w:bodyDiv w:val="1"/>
      <w:marLeft w:val="0"/>
      <w:marRight w:val="0"/>
      <w:marTop w:val="0"/>
      <w:marBottom w:val="0"/>
      <w:divBdr>
        <w:top w:val="none" w:sz="0" w:space="0" w:color="auto"/>
        <w:left w:val="none" w:sz="0" w:space="0" w:color="auto"/>
        <w:bottom w:val="none" w:sz="0" w:space="0" w:color="auto"/>
        <w:right w:val="none" w:sz="0" w:space="0" w:color="auto"/>
      </w:divBdr>
    </w:div>
    <w:div w:id="544761201">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kb.com.cn/news/industryNews/2022/0506/484647.html" TargetMode="External"/><Relationship Id="rId3" Type="http://schemas.openxmlformats.org/officeDocument/2006/relationships/settings" Target="settings.xml"/><Relationship Id="rId7" Type="http://schemas.openxmlformats.org/officeDocument/2006/relationships/hyperlink" Target="http://health.people.com.cn/n1/2022/0505/c14739-3241421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ews.bioon.com/article/bd3be259622c.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04141-81D4-4B67-AA39-9C308ECF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660</Words>
  <Characters>3767</Characters>
  <Application>Microsoft Office Word</Application>
  <DocSecurity>0</DocSecurity>
  <Lines>31</Lines>
  <Paragraphs>8</Paragraphs>
  <ScaleCrop>false</ScaleCrop>
  <Company>Microsoft</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2023-03-06T02:20:00Z</cp:lastPrinted>
  <dcterms:created xsi:type="dcterms:W3CDTF">2023-07-31T01:36:00Z</dcterms:created>
  <dcterms:modified xsi:type="dcterms:W3CDTF">2023-07-31T01:48:00Z</dcterms:modified>
</cp:coreProperties>
</file>