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E566D4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E566D4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D634FE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634FE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8C68A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7707C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146830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8A543C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期（</w:t>
      </w:r>
      <w:r w:rsidR="005057B4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5057B4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5057B4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46830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A543C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430843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843E7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A543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726786" w:rsidRDefault="00726786" w:rsidP="00726786">
      <w:pPr>
        <w:adjustRightInd w:val="0"/>
        <w:snapToGrid w:val="0"/>
        <w:spacing w:line="360" w:lineRule="auto"/>
        <w:jc w:val="left"/>
        <w:rPr>
          <w:rFonts w:ascii="黑体" w:eastAsia="黑体"/>
          <w:color w:val="000000" w:themeColor="text1"/>
          <w:sz w:val="28"/>
          <w:szCs w:val="28"/>
        </w:rPr>
      </w:pPr>
      <w:r w:rsidRPr="000C7779">
        <w:rPr>
          <w:rFonts w:ascii="黑体" w:eastAsia="黑体" w:hint="eastAsia"/>
          <w:color w:val="000000" w:themeColor="text1"/>
          <w:sz w:val="28"/>
          <w:szCs w:val="28"/>
        </w:rPr>
        <w:t>本期目录</w:t>
      </w:r>
    </w:p>
    <w:p w:rsidR="00134048" w:rsidRDefault="00D634FE">
      <w:pPr>
        <w:pStyle w:val="10"/>
        <w:rPr>
          <w:b w:val="0"/>
          <w:noProof/>
          <w:sz w:val="21"/>
          <w:szCs w:val="22"/>
          <w:shd w:val="clear" w:color="auto" w:fill="auto"/>
        </w:rPr>
      </w:pPr>
      <w:r w:rsidRPr="00D634FE">
        <w:rPr>
          <w:rFonts w:ascii="黑体" w:eastAsia="黑体" w:hAnsiTheme="minorEastAsia" w:cs="Times New Roman"/>
          <w:noProof/>
          <w:color w:val="000000" w:themeColor="text1"/>
          <w:sz w:val="28"/>
          <w:szCs w:val="28"/>
        </w:rPr>
        <w:fldChar w:fldCharType="begin"/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="00726786">
        <w:rPr>
          <w:rFonts w:ascii="黑体" w:eastAsia="黑体" w:hint="eastAsia"/>
          <w:color w:val="000000" w:themeColor="text1"/>
          <w:sz w:val="28"/>
          <w:szCs w:val="28"/>
        </w:rPr>
        <w:instrText>TOC \o "1-3" \h \z \u</w:instrText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Pr="00D634FE">
        <w:rPr>
          <w:rFonts w:ascii="黑体" w:eastAsia="黑体" w:hAnsiTheme="minorEastAsia" w:cs="Times New Roman"/>
          <w:noProof/>
          <w:color w:val="000000" w:themeColor="text1"/>
          <w:sz w:val="28"/>
          <w:szCs w:val="28"/>
        </w:rPr>
        <w:fldChar w:fldCharType="separate"/>
      </w:r>
      <w:hyperlink w:anchor="_Toc141429311" w:history="1">
        <w:r w:rsidR="00134048" w:rsidRPr="00336913">
          <w:rPr>
            <w:rStyle w:val="a4"/>
            <w:rFonts w:asciiTheme="minorEastAsia" w:hAnsiTheme="minorEastAsia" w:cs="Times New Roman" w:hint="eastAsia"/>
            <w:noProof/>
          </w:rPr>
          <w:t>截至</w:t>
        </w:r>
        <w:r w:rsidR="00134048" w:rsidRPr="00336913">
          <w:rPr>
            <w:rStyle w:val="a4"/>
            <w:rFonts w:asciiTheme="minorEastAsia" w:hAnsiTheme="minorEastAsia" w:cs="Times New Roman"/>
            <w:noProof/>
          </w:rPr>
          <w:t>11</w:t>
        </w:r>
        <w:r w:rsidR="00134048" w:rsidRPr="00336913">
          <w:rPr>
            <w:rStyle w:val="a4"/>
            <w:rFonts w:asciiTheme="minorEastAsia" w:hAnsiTheme="minorEastAsia" w:cs="Times New Roman" w:hint="eastAsia"/>
            <w:noProof/>
          </w:rPr>
          <w:t>月</w:t>
        </w:r>
        <w:r w:rsidR="00134048" w:rsidRPr="00336913">
          <w:rPr>
            <w:rStyle w:val="a4"/>
            <w:rFonts w:asciiTheme="minorEastAsia" w:hAnsiTheme="minorEastAsia" w:cs="Times New Roman"/>
            <w:noProof/>
          </w:rPr>
          <w:t>20</w:t>
        </w:r>
        <w:r w:rsidR="00134048" w:rsidRPr="00336913">
          <w:rPr>
            <w:rStyle w:val="a4"/>
            <w:rFonts w:asciiTheme="minorEastAsia" w:hAnsiTheme="minorEastAsia" w:cs="Times New Roman" w:hint="eastAsia"/>
            <w:noProof/>
          </w:rPr>
          <w:t>日</w:t>
        </w:r>
        <w:r w:rsidR="00134048" w:rsidRPr="00336913">
          <w:rPr>
            <w:rStyle w:val="a4"/>
            <w:rFonts w:asciiTheme="minorEastAsia" w:hAnsiTheme="minorEastAsia" w:cs="Times New Roman"/>
            <w:noProof/>
          </w:rPr>
          <w:t>24</w:t>
        </w:r>
        <w:r w:rsidR="00134048" w:rsidRPr="00336913">
          <w:rPr>
            <w:rStyle w:val="a4"/>
            <w:rFonts w:asciiTheme="minorEastAsia" w:hAnsiTheme="minorEastAsia" w:cs="Times New Roman" w:hint="eastAsia"/>
            <w:noProof/>
          </w:rPr>
          <w:t>时新型冠状病毒肺炎疫情最新情况</w:t>
        </w:r>
        <w:r w:rsidR="00134048">
          <w:rPr>
            <w:noProof/>
            <w:webHidden/>
          </w:rPr>
          <w:tab/>
        </w:r>
        <w:r w:rsidR="00134048">
          <w:rPr>
            <w:noProof/>
            <w:webHidden/>
          </w:rPr>
          <w:fldChar w:fldCharType="begin"/>
        </w:r>
        <w:r w:rsidR="00134048">
          <w:rPr>
            <w:noProof/>
            <w:webHidden/>
          </w:rPr>
          <w:instrText xml:space="preserve"> PAGEREF _Toc141429311 \h </w:instrText>
        </w:r>
        <w:r w:rsidR="00134048">
          <w:rPr>
            <w:noProof/>
            <w:webHidden/>
          </w:rPr>
        </w:r>
        <w:r w:rsidR="00134048">
          <w:rPr>
            <w:noProof/>
            <w:webHidden/>
          </w:rPr>
          <w:fldChar w:fldCharType="separate"/>
        </w:r>
        <w:r w:rsidR="00134048">
          <w:rPr>
            <w:noProof/>
            <w:webHidden/>
          </w:rPr>
          <w:t>1</w:t>
        </w:r>
        <w:r w:rsidR="00134048">
          <w:rPr>
            <w:noProof/>
            <w:webHidden/>
          </w:rPr>
          <w:fldChar w:fldCharType="end"/>
        </w:r>
      </w:hyperlink>
    </w:p>
    <w:p w:rsidR="00134048" w:rsidRDefault="00134048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429312" w:history="1">
        <w:r w:rsidRPr="00336913">
          <w:rPr>
            <w:rStyle w:val="a4"/>
            <w:rFonts w:asciiTheme="minorEastAsia" w:hAnsiTheme="minorEastAsia" w:cs="Times New Roman" w:hint="eastAsia"/>
            <w:noProof/>
          </w:rPr>
          <w:t>全面理解“二十条”加快补齐防疫“短板”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_Toc141429312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34048" w:rsidRDefault="00134048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429313" w:history="1">
        <w:r w:rsidRPr="00336913">
          <w:rPr>
            <w:rStyle w:val="a4"/>
            <w:rFonts w:asciiTheme="minorEastAsia" w:hAnsiTheme="minorEastAsia" w:cs="Times New Roman" w:hint="eastAsia"/>
            <w:noProof/>
          </w:rPr>
          <w:t>疾控专家介绍当前疫情防控的重点和难点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_Toc141429313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D5243" w:rsidRPr="006D5243" w:rsidRDefault="00D634FE" w:rsidP="006D524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1"/>
          <w:szCs w:val="21"/>
        </w:rPr>
      </w:pPr>
      <w:r>
        <w:rPr>
          <w:rFonts w:ascii="黑体" w:eastAsia="黑体"/>
          <w:color w:val="000000" w:themeColor="text1"/>
          <w:sz w:val="28"/>
          <w:szCs w:val="28"/>
        </w:rPr>
        <w:fldChar w:fldCharType="end"/>
      </w:r>
      <w:bookmarkStart w:id="0" w:name="_Toc95207749"/>
      <w:bookmarkStart w:id="1" w:name="_Toc95727665"/>
      <w:bookmarkStart w:id="2" w:name="_Toc98753064"/>
      <w:bookmarkStart w:id="3" w:name="_Toc119923242"/>
      <w:bookmarkStart w:id="4" w:name="_Toc141429311"/>
      <w:bookmarkEnd w:id="0"/>
      <w:bookmarkEnd w:id="1"/>
      <w:bookmarkEnd w:id="2"/>
      <w:r w:rsidR="006D5243" w:rsidRPr="006D5243">
        <w:rPr>
          <w:rFonts w:asciiTheme="minorEastAsia" w:hAnsiTheme="minorEastAsia" w:cs="Times New Roman" w:hint="eastAsia"/>
          <w:color w:val="333333"/>
          <w:sz w:val="21"/>
          <w:szCs w:val="21"/>
        </w:rPr>
        <w:t>截至</w:t>
      </w:r>
      <w:bookmarkEnd w:id="3"/>
      <w:r w:rsidR="006D5243" w:rsidRPr="006D5243">
        <w:rPr>
          <w:rFonts w:asciiTheme="minorEastAsia" w:hAnsiTheme="minorEastAsia" w:cs="Times New Roman" w:hint="eastAsia"/>
          <w:color w:val="333333"/>
          <w:sz w:val="21"/>
          <w:szCs w:val="21"/>
        </w:rPr>
        <w:t>11月20日24时新型冠状病毒肺炎疫情最新情况</w:t>
      </w:r>
      <w:bookmarkEnd w:id="4"/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2022-11-21    卫生应急办公室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11月20日0—24时，31个省（自治区、直辖市）和新疆生产建设兵团报告新增确诊病例2365例。其中境外输入病例88例（广东38例，福建15例，江苏9例，重庆9例，上海5例，北京3例，浙江2例，四川2例，天津1例，山东1例，湖南1例，云南1例，陕西1例），含7例由无症状感染者转为确诊病例*（重庆3例*、江苏2例，浙江1例，广东1例）；本土病例2277例（广东984例，重庆231例，四川217例，河南161例，北京154例，山西120例，内蒙古92例，江苏56例，云南37例，陕西29例，山东26例，浙江23例，福建20例，甘肃18例，新疆18例，黑龙江17例，辽宁15例，贵州10例，青海9例，天津6例，吉林6例，上海6例，湖北6例，江西5例，海南4例，湖南3例，河北2例，西藏1例，宁夏1例），含787例由无症状感染者转为确诊病例（广东600例，重庆56例，四川32例，甘肃18例，浙江12例，北京11例，陕西11例，山西10例，河南7例，青海6例，辽宁5例，江苏3例，福建3例，内蒙古2例，黑龙江2例，山东2例，湖南2例，海南2例，云南2例，宁夏1例）。新增死亡病例2例，均为本土病例，在北京；无新增疑似病例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当日新增治愈出院病例982例，其中境外输入病例55例，本土病例927例（广东546例，内蒙古98例，北京59例，重庆55例，山西33例，四川29例，山东15例，新疆14例，黑龙江10例，辽宁9例，云南9例，福建8例，青海8例，河南5例，陕西5例，甘肃5例，江苏4例，浙江4例，安徽3例，天津2例，湖南2例，贵州2例，海南1例，西藏1例），解除医学观察的密切接触者130082人，重症病例较前一日增加12例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境外输入现有确诊病例660例（无重症病例），无现有疑似病例。累计确诊病例26924例，累计治愈出院病例26264例，无死亡病例。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截至11月20日24时，据31个省（自治区、直辖市）和新疆生产建设兵团报告，现有确诊病例22210例（其中重症病例107例），累计治愈出院病例261123例，累计死亡病例5229例，累计报告确诊病例288562例，无现有疑似病例。累计追踪到密切接触者10190584人，尚在医学观</w:t>
      </w:r>
      <w:r w:rsidRPr="006D5243">
        <w:rPr>
          <w:rFonts w:asciiTheme="minorEastAsia" w:hAnsiTheme="minorEastAsia" w:cs="Times New Roman" w:hint="eastAsia"/>
          <w:color w:val="333333"/>
          <w:szCs w:val="21"/>
        </w:rPr>
        <w:lastRenderedPageBreak/>
        <w:t>察的密切接触者1163439人。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31个省（自治区、直辖市）和新疆生产建设兵团报告新增无症状感染者24730例，其中境外输入183例，本土24547例（广东8101例，重庆5898例，甘肃1173例，河南1050例，新疆893例，内蒙古832例，北京808例，河北734例，山东647例，陕西637例，四川612例，青海530例，山西518例，湖北325例，黑龙江280例，广西232例，吉林210例，天津192例，江苏189例，湖南178例，云南95例，辽宁75例，浙江69例，宁夏58例，安徽56例，贵州56例，上海33例，福建22例，江西14例，西藏14例，海南12例，兵团4例）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当日解除医学观察的无症状感染者5091例，其中境外输入95例，本土4996例（内蒙古1371例，广东948例，新疆534例，河北460例，重庆244例，黑龙江234例，河南177例，湖南164例，山东136例，山西100例，湖北83例，甘肃82例，北京70例，青海69例，四川59例，云南57例，福建52例，宁夏25例，安徽22例，陕西20例，天津17例，辽宁17例，江苏15例，西藏12例，贵州8例，浙江7例，吉林6例，江西3例，广西2例，上海1例，海南1例）；当日转为确诊病例794*（境外输入7例*）；尚在医学观察的无症状感染者208514例**（境外输入1138例**）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累计收到港澳台地区通报确诊病例8613419例。其中，香港特别行政区449615例（出院96218例，死亡10599例），澳门特别行政区796例（出院789例，死亡6例），台湾地区8163008例（出院13742例，死亡13950例）。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备注：*：重庆核增3例；**：重庆核增1例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摘引网址：</w:t>
      </w:r>
      <w:hyperlink r:id="rId7" w:history="1">
        <w:r w:rsidRPr="006D5243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http://www.nhc.gov.cn/xcs/yqtb/202211/1c304953c3114abea007580879842d5a.shtml</w:t>
        </w:r>
      </w:hyperlink>
    </w:p>
    <w:p w:rsidR="001843E7" w:rsidRPr="006D5243" w:rsidRDefault="001843E7" w:rsidP="006D524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1"/>
          <w:szCs w:val="21"/>
        </w:rPr>
      </w:pPr>
    </w:p>
    <w:p w:rsidR="006D5243" w:rsidRPr="006D5243" w:rsidRDefault="006D5243" w:rsidP="006D524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1"/>
          <w:szCs w:val="21"/>
        </w:rPr>
      </w:pPr>
      <w:bookmarkStart w:id="5" w:name="_Toc119661281"/>
      <w:bookmarkStart w:id="6" w:name="_Toc141429312"/>
      <w:r w:rsidRPr="006D5243">
        <w:rPr>
          <w:rFonts w:asciiTheme="minorEastAsia" w:hAnsiTheme="minorEastAsia" w:cs="Times New Roman" w:hint="eastAsia"/>
          <w:color w:val="333333"/>
          <w:sz w:val="21"/>
          <w:szCs w:val="21"/>
        </w:rPr>
        <w:t>全面理解“二十条”</w:t>
      </w:r>
      <w:bookmarkEnd w:id="5"/>
      <w:r w:rsidRPr="006D5243">
        <w:rPr>
          <w:rFonts w:asciiTheme="minorEastAsia" w:hAnsiTheme="minorEastAsia" w:cs="Times New Roman" w:hint="eastAsia"/>
          <w:color w:val="333333"/>
          <w:sz w:val="21"/>
          <w:szCs w:val="21"/>
        </w:rPr>
        <w:t>加快补齐防疫“短板”</w:t>
      </w:r>
      <w:bookmarkEnd w:id="6"/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2022-11-18    人民网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/>
          <w:color w:val="333333"/>
          <w:szCs w:val="21"/>
        </w:rPr>
        <w:t> 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近日，国务院应对新型冠状病毒肺炎疫情联防联控机制综合组发布《关于进一步优化新冠肺炎疫情防控措施</w:t>
      </w:r>
      <w:r w:rsidRPr="006D5243">
        <w:rPr>
          <w:rFonts w:asciiTheme="minorEastAsia" w:hAnsiTheme="minorEastAsia" w:cs="Times New Roman"/>
          <w:color w:val="333333"/>
          <w:szCs w:val="21"/>
        </w:rPr>
        <w:t> </w:t>
      </w:r>
      <w:r w:rsidRPr="006D5243">
        <w:rPr>
          <w:rFonts w:asciiTheme="minorEastAsia" w:hAnsiTheme="minorEastAsia" w:cs="Times New Roman" w:hint="eastAsia"/>
          <w:color w:val="333333"/>
          <w:szCs w:val="21"/>
        </w:rPr>
        <w:t>科学精准做好防控工作的通知》，不仅对当前疫情防控政策进行了优化调整，同时对加强医疗卫生服务能力建设作出重要部署。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在当前形势下，疫情防控政策优化调整，基于哪些国情？加强医疗卫生服务能力、补齐防疫“短板”有何重大意义？多位专家向人民网财经表示，新发布的优化疫情防控“二十条”不仅对当前防控工作提出更加精细、更加精准的要求，还为下一步开展工作提供了清晰的指导和可靠的依据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lastRenderedPageBreak/>
        <w:t>    疫情防控政策优化调整，基于哪些国情？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世界卫生组织11月15日公布的最新数据显示，全球累计新冠确诊病例超6.3亿例，死亡病例超659万例。当前，疫情仍然在世界范围内持续流行，最终走向还存在很大不确定性。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我国是人口大国，脆弱人群数量多，地区发展不平衡，医疗资源总量不足，一些地区的疫情还有一定规模。受病毒变异和冬春季气候因素影响，防控形势严峻复杂。“优化之后的举措，能够明显缓解各地疫情处置当中遇到的一些瓶颈和障碍的问题。”雷海潮说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北京师范大学中国教育与社会发展研究院教授宋贵伦分析，“二十条”的出台说明，基于病毒变异的特点，在前期积累的许多有益经验基础上，疫情防控要采取更加精细、更加精准的措施。在科学精准管控风险区域的前提下，最大限度减少管控范围和人员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奥密克戎变异株传播速度更快、隐匿性更强，企业、学校、养老院、精神专科医院、福利院等重点机构人员密集，特别是老年人等脆弱人群抵抗力较弱，一旦有感染传入，极易造成聚集性疫情，处置难度很大。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对此，国家卫健委在官网发布《关于进一步优化新冠肺炎疫情防控措施</w:t>
      </w:r>
      <w:r w:rsidRPr="006D5243">
        <w:rPr>
          <w:rFonts w:asciiTheme="minorEastAsia" w:hAnsiTheme="minorEastAsia" w:cs="Times New Roman"/>
          <w:color w:val="333333"/>
          <w:szCs w:val="21"/>
        </w:rPr>
        <w:t> </w:t>
      </w:r>
      <w:r w:rsidRPr="006D5243">
        <w:rPr>
          <w:rFonts w:asciiTheme="minorEastAsia" w:hAnsiTheme="minorEastAsia" w:cs="Times New Roman" w:hint="eastAsia"/>
          <w:color w:val="333333"/>
          <w:szCs w:val="21"/>
        </w:rPr>
        <w:t>科学精准做好防控工作的通知》解读问答，其中着重强调“一企一策”“一园一策”制定疫情防控处置预案，落实防控主体责任；提升学校疫情应急处置能力，支持学校以快制快处置疫情；优化对养老院、精神专科医院、福利院等脆弱人群集中场所的管理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“紧紧围绕控制疫情传播精准发力，将用尽可能小的经济社会代价，产生尽可能好的防控效果。”宋贵伦说。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加强医疗卫生服务能力，如何理解、贯彻？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最新的二十条措施不仅对当前疫情防控政策进行了优化调整，同时强调加强医疗卫生服务能力建设，提出“加强医疗资源建设”“有序推进新冠病毒疫苗接种”“加快新冠肺炎治疗相关药物储备”“强化重点机构、重点人群保护”等四方面举措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宋贵伦指出，一方面，各级政府要立足本区域需求，抓紧增加必要的医疗资源，同时挖掘内部资源、整合社会资源，坚决防止等、靠、要思想；另一方面，要广泛动员群众，更好地做好个人防护。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“个人及时接种新冠疫苗、按要求完成核酸检测，有关部门加快新药研发、强化重点人群保护等，都是必不可少的。”宋贵伦说。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西安交通大学第二附属医院感染科主任医师贾晓黎表示，“二十条”中提到加强人力、床位、药物、疫苗储备等方面的重点能力建设，主要是保证人、物两方面的储备，建立起经得住考验的有效机制。“这为我们下一步更好地开展工作提供了清晰的指导和可靠的依据。”她强调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结合实际工作，贾晓黎提出，在加强医疗人员队伍建设时，要重视对口专业人员的培养，以感染、呼吸、重症以及麻醉的医务人员为主，开展医疗专业及疫情防治两个方面能力的培养。此外，还应加强对相关专业人才的培养，包括妇产科、儿科专业，以保证有特殊需求患者的救治及安全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lastRenderedPageBreak/>
        <w:t>    我国南北维度跨度大，各地温度差距大，即使同一时间发病，也存在环境因素导致的疾病差异，患者存在地域性及个体差异。贾晓黎建议，在治疗总原则的指导下，各地要结合实际形成个体化治疗方案，并成立医疗储备团队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“要多方面着手，控制疫情及重症比例，让医疗资源能充分释放，避免医疗挤兑的风险。”贾晓黎说。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摘引网址：http://health.people.com.cn/n1/2022/1118/c14739-32568960.html</w:t>
      </w:r>
    </w:p>
    <w:p w:rsidR="001843E7" w:rsidRPr="006D5243" w:rsidRDefault="001843E7" w:rsidP="006D5243">
      <w:pPr>
        <w:adjustRightInd w:val="0"/>
        <w:snapToGrid w:val="0"/>
        <w:spacing w:line="360" w:lineRule="auto"/>
        <w:rPr>
          <w:rFonts w:asciiTheme="minorEastAsia" w:hAnsiTheme="minorEastAsia" w:hint="eastAsia"/>
          <w:szCs w:val="21"/>
        </w:rPr>
      </w:pPr>
    </w:p>
    <w:p w:rsidR="006D5243" w:rsidRPr="006D5243" w:rsidRDefault="006D5243" w:rsidP="006D524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1"/>
          <w:szCs w:val="21"/>
        </w:rPr>
      </w:pPr>
      <w:bookmarkStart w:id="7" w:name="_Toc119316621"/>
      <w:bookmarkStart w:id="8" w:name="_Toc141429313"/>
      <w:r w:rsidRPr="006D5243">
        <w:rPr>
          <w:rFonts w:asciiTheme="minorEastAsia" w:hAnsiTheme="minorEastAsia" w:cs="Times New Roman" w:hint="eastAsia"/>
          <w:color w:val="333333"/>
          <w:sz w:val="21"/>
          <w:szCs w:val="21"/>
        </w:rPr>
        <w:t>疾控专家介绍当前疫情防控的重点和难点</w:t>
      </w:r>
      <w:bookmarkEnd w:id="7"/>
      <w:bookmarkEnd w:id="8"/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(2022-11-13    人民网)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/>
          <w:color w:val="333333"/>
          <w:szCs w:val="21"/>
        </w:rPr>
        <w:t> </w:t>
      </w:r>
      <w:r w:rsidRPr="006D5243">
        <w:rPr>
          <w:rFonts w:asciiTheme="minorEastAsia" w:hAnsiTheme="minorEastAsia" w:cs="Times New Roman" w:hint="eastAsia"/>
          <w:color w:val="333333"/>
          <w:szCs w:val="21"/>
        </w:rPr>
        <w:t>    防控的重点是人口密度比较大、人口集中的大城市的疫情防控，难点是措施怎样落实好，把各项防控措施能够做实做细、落实到位。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近日，国务院联防联控机制就优化调整疫情防控措施，全力抓好当前疫情防控处置工作举行新闻发布会。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对于目前疫情防控的重点难点，中国疾控中心传防处研究员王丽萍表示，当前，国际疫情形势错综复杂，对于防控的重点仍然还是人口密度比较大、人口集中的大城市的疫情防控，难点是这些措施怎么样落实好，把各项防控措施能够做实做细、落实到位，这是重点和难点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对于怎样坚决果断控制疫情，王丽萍介绍，一是做好常态化监测预警，提升整个新冠疫情监测的敏感度，要进一步落实好“四早”，加强对于风险岗位从业人员、医疗机构等重点机构和重点人群的监测，切实做到风险人员的早发现和早管控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二是要完善当地的应急处置体系，一旦发生本土疫情以后，措施要果断、快速。对于特大城市和重点城市，要更加突出精细、精准、高效，结合当地的实际情况，要加强防控指挥体系的建设，细化操作流程，做到分工明确、责任清晰、高效运转，这样就能够发现早、处置快，就能以最小的成本实现最大的防控效果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三是要做好储备，第九版防控方案以及相关文件，要求各地做到核酸检测力量、流调力量、隔离资源以及对流动人员管理的“四个统筹”，只有有备才能做到无患。做好与城市规模相匹配的医疗救治能力的储备。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最后，要持续打造强大的社区治理防线，将城市治理的工作重心下移到城乡社区，提前掌握、动员区域党员、企事业单位干部力量，要提前做好疫情防控专业培训和应急演练，真正发生疫情以后，动用这些力量，能够更好、更快、更高效地处置，做好疫情防控。</w:t>
      </w:r>
    </w:p>
    <w:p w:rsidR="006D5243" w:rsidRPr="006D5243" w:rsidRDefault="006D5243" w:rsidP="006D524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6D5243">
        <w:rPr>
          <w:rFonts w:asciiTheme="minorEastAsia" w:hAnsiTheme="minorEastAsia" w:cs="Times New Roman" w:hint="eastAsia"/>
          <w:color w:val="333333"/>
          <w:szCs w:val="21"/>
        </w:rPr>
        <w:t>    摘引网址：https://jiankang.163.com/22/1113/23/HM3DKTUK0038804U.html</w:t>
      </w:r>
    </w:p>
    <w:p w:rsidR="006D5243" w:rsidRPr="006D5243" w:rsidRDefault="006D5243" w:rsidP="006D524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sectPr w:rsidR="006D5243" w:rsidRPr="006D5243" w:rsidSect="00D93881">
      <w:footerReference w:type="default" r:id="rId8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705" w:rsidRDefault="00807705" w:rsidP="003C6FFE">
      <w:r>
        <w:separator/>
      </w:r>
    </w:p>
  </w:endnote>
  <w:endnote w:type="continuationSeparator" w:id="1">
    <w:p w:rsidR="00807705" w:rsidRDefault="00807705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D634FE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134048" w:rsidRPr="00134048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8077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705" w:rsidRDefault="00807705" w:rsidP="003C6FFE">
      <w:r>
        <w:separator/>
      </w:r>
    </w:p>
  </w:footnote>
  <w:footnote w:type="continuationSeparator" w:id="1">
    <w:p w:rsidR="00807705" w:rsidRDefault="00807705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1034D"/>
    <w:rsid w:val="00024273"/>
    <w:rsid w:val="00036CE5"/>
    <w:rsid w:val="00046336"/>
    <w:rsid w:val="00062302"/>
    <w:rsid w:val="00072025"/>
    <w:rsid w:val="000C3E92"/>
    <w:rsid w:val="000C404F"/>
    <w:rsid w:val="000F005D"/>
    <w:rsid w:val="000F1BBC"/>
    <w:rsid w:val="00102618"/>
    <w:rsid w:val="00110FD7"/>
    <w:rsid w:val="00113C14"/>
    <w:rsid w:val="001215D4"/>
    <w:rsid w:val="00121AC5"/>
    <w:rsid w:val="00122237"/>
    <w:rsid w:val="001237B9"/>
    <w:rsid w:val="00134048"/>
    <w:rsid w:val="001343A6"/>
    <w:rsid w:val="00143509"/>
    <w:rsid w:val="00146830"/>
    <w:rsid w:val="001506D6"/>
    <w:rsid w:val="0015142A"/>
    <w:rsid w:val="0015344F"/>
    <w:rsid w:val="0015474D"/>
    <w:rsid w:val="0016106B"/>
    <w:rsid w:val="001843E7"/>
    <w:rsid w:val="00191548"/>
    <w:rsid w:val="001A11A0"/>
    <w:rsid w:val="001B3B90"/>
    <w:rsid w:val="001D06E2"/>
    <w:rsid w:val="001D547C"/>
    <w:rsid w:val="001D7C22"/>
    <w:rsid w:val="001F1201"/>
    <w:rsid w:val="0022653B"/>
    <w:rsid w:val="002270A5"/>
    <w:rsid w:val="00232C72"/>
    <w:rsid w:val="002464A1"/>
    <w:rsid w:val="00250452"/>
    <w:rsid w:val="00251D95"/>
    <w:rsid w:val="002578F8"/>
    <w:rsid w:val="00261C12"/>
    <w:rsid w:val="002A0ACE"/>
    <w:rsid w:val="002C342F"/>
    <w:rsid w:val="002D1495"/>
    <w:rsid w:val="002E5E98"/>
    <w:rsid w:val="002E611A"/>
    <w:rsid w:val="002F427E"/>
    <w:rsid w:val="00321700"/>
    <w:rsid w:val="0035217E"/>
    <w:rsid w:val="00362FD2"/>
    <w:rsid w:val="00363555"/>
    <w:rsid w:val="003959B4"/>
    <w:rsid w:val="00395C6A"/>
    <w:rsid w:val="003A3475"/>
    <w:rsid w:val="003C6FFE"/>
    <w:rsid w:val="003D5CC1"/>
    <w:rsid w:val="003E00D5"/>
    <w:rsid w:val="003E08E8"/>
    <w:rsid w:val="003F654F"/>
    <w:rsid w:val="004169FF"/>
    <w:rsid w:val="0042177A"/>
    <w:rsid w:val="00423756"/>
    <w:rsid w:val="00430843"/>
    <w:rsid w:val="0043442B"/>
    <w:rsid w:val="00435295"/>
    <w:rsid w:val="004712E9"/>
    <w:rsid w:val="004929DD"/>
    <w:rsid w:val="0049345A"/>
    <w:rsid w:val="00496EC3"/>
    <w:rsid w:val="004A3B15"/>
    <w:rsid w:val="004A5F0F"/>
    <w:rsid w:val="004B7CC3"/>
    <w:rsid w:val="004E6727"/>
    <w:rsid w:val="004F406D"/>
    <w:rsid w:val="004F6667"/>
    <w:rsid w:val="00502577"/>
    <w:rsid w:val="005057B4"/>
    <w:rsid w:val="00517A45"/>
    <w:rsid w:val="0054084E"/>
    <w:rsid w:val="005551DD"/>
    <w:rsid w:val="00560EC7"/>
    <w:rsid w:val="0058480E"/>
    <w:rsid w:val="00595E56"/>
    <w:rsid w:val="005A2E73"/>
    <w:rsid w:val="005A647D"/>
    <w:rsid w:val="005D7FBA"/>
    <w:rsid w:val="005F00A5"/>
    <w:rsid w:val="005F0E31"/>
    <w:rsid w:val="005F125D"/>
    <w:rsid w:val="005F641C"/>
    <w:rsid w:val="00604B5B"/>
    <w:rsid w:val="00614AD4"/>
    <w:rsid w:val="00665DFD"/>
    <w:rsid w:val="006876AC"/>
    <w:rsid w:val="006A307B"/>
    <w:rsid w:val="006B7D3C"/>
    <w:rsid w:val="006C147C"/>
    <w:rsid w:val="006D2AFF"/>
    <w:rsid w:val="006D5243"/>
    <w:rsid w:val="006D61CF"/>
    <w:rsid w:val="006F65F5"/>
    <w:rsid w:val="006F670B"/>
    <w:rsid w:val="00714325"/>
    <w:rsid w:val="00726786"/>
    <w:rsid w:val="00726F94"/>
    <w:rsid w:val="007325A3"/>
    <w:rsid w:val="007344B3"/>
    <w:rsid w:val="00752459"/>
    <w:rsid w:val="00754230"/>
    <w:rsid w:val="00762070"/>
    <w:rsid w:val="00776E5C"/>
    <w:rsid w:val="00795899"/>
    <w:rsid w:val="007A6D83"/>
    <w:rsid w:val="007C5DFF"/>
    <w:rsid w:val="00805E47"/>
    <w:rsid w:val="00807705"/>
    <w:rsid w:val="00815E71"/>
    <w:rsid w:val="00824027"/>
    <w:rsid w:val="00825031"/>
    <w:rsid w:val="008256CE"/>
    <w:rsid w:val="008268B3"/>
    <w:rsid w:val="008552C0"/>
    <w:rsid w:val="00876C1F"/>
    <w:rsid w:val="00884E9C"/>
    <w:rsid w:val="00887DD6"/>
    <w:rsid w:val="00891F18"/>
    <w:rsid w:val="008A543C"/>
    <w:rsid w:val="008C68A3"/>
    <w:rsid w:val="008D594D"/>
    <w:rsid w:val="008E0E0E"/>
    <w:rsid w:val="008F6471"/>
    <w:rsid w:val="00900886"/>
    <w:rsid w:val="00910CF6"/>
    <w:rsid w:val="00911A6F"/>
    <w:rsid w:val="00915CD8"/>
    <w:rsid w:val="0091750A"/>
    <w:rsid w:val="00931FE6"/>
    <w:rsid w:val="00935F62"/>
    <w:rsid w:val="009430F9"/>
    <w:rsid w:val="009654DC"/>
    <w:rsid w:val="0097707C"/>
    <w:rsid w:val="00980F2B"/>
    <w:rsid w:val="00986130"/>
    <w:rsid w:val="009B37C8"/>
    <w:rsid w:val="009C14C4"/>
    <w:rsid w:val="009C6C03"/>
    <w:rsid w:val="009D3FE9"/>
    <w:rsid w:val="009E5460"/>
    <w:rsid w:val="009F151F"/>
    <w:rsid w:val="009F7EB6"/>
    <w:rsid w:val="00A01A2E"/>
    <w:rsid w:val="00A030A2"/>
    <w:rsid w:val="00A5087E"/>
    <w:rsid w:val="00A57B6A"/>
    <w:rsid w:val="00A728C3"/>
    <w:rsid w:val="00A76F47"/>
    <w:rsid w:val="00A82E22"/>
    <w:rsid w:val="00A95340"/>
    <w:rsid w:val="00AB4113"/>
    <w:rsid w:val="00AD14A6"/>
    <w:rsid w:val="00AE40F0"/>
    <w:rsid w:val="00AF175B"/>
    <w:rsid w:val="00AF1E1F"/>
    <w:rsid w:val="00B430C6"/>
    <w:rsid w:val="00B63313"/>
    <w:rsid w:val="00B73774"/>
    <w:rsid w:val="00B75E8A"/>
    <w:rsid w:val="00B87C18"/>
    <w:rsid w:val="00B9703D"/>
    <w:rsid w:val="00BB7068"/>
    <w:rsid w:val="00BC37C2"/>
    <w:rsid w:val="00BD3F55"/>
    <w:rsid w:val="00BE3FBA"/>
    <w:rsid w:val="00BF5C4B"/>
    <w:rsid w:val="00C05DB4"/>
    <w:rsid w:val="00C07D3E"/>
    <w:rsid w:val="00C138E3"/>
    <w:rsid w:val="00C21080"/>
    <w:rsid w:val="00C4097F"/>
    <w:rsid w:val="00C51691"/>
    <w:rsid w:val="00C56C13"/>
    <w:rsid w:val="00C619AF"/>
    <w:rsid w:val="00C715E7"/>
    <w:rsid w:val="00C86C2C"/>
    <w:rsid w:val="00CA7951"/>
    <w:rsid w:val="00CF2A84"/>
    <w:rsid w:val="00D17019"/>
    <w:rsid w:val="00D41134"/>
    <w:rsid w:val="00D4698E"/>
    <w:rsid w:val="00D5272C"/>
    <w:rsid w:val="00D5385B"/>
    <w:rsid w:val="00D573FF"/>
    <w:rsid w:val="00D61C9A"/>
    <w:rsid w:val="00D634FE"/>
    <w:rsid w:val="00D641D2"/>
    <w:rsid w:val="00D67E67"/>
    <w:rsid w:val="00D7032B"/>
    <w:rsid w:val="00D727F5"/>
    <w:rsid w:val="00D77894"/>
    <w:rsid w:val="00DA03DE"/>
    <w:rsid w:val="00DA3B12"/>
    <w:rsid w:val="00DC1FD1"/>
    <w:rsid w:val="00DC3345"/>
    <w:rsid w:val="00DD22EE"/>
    <w:rsid w:val="00DD7C75"/>
    <w:rsid w:val="00DF0E51"/>
    <w:rsid w:val="00E06D8F"/>
    <w:rsid w:val="00E1158F"/>
    <w:rsid w:val="00E151F6"/>
    <w:rsid w:val="00E22B52"/>
    <w:rsid w:val="00E254AA"/>
    <w:rsid w:val="00E42CCD"/>
    <w:rsid w:val="00E523C2"/>
    <w:rsid w:val="00E541D1"/>
    <w:rsid w:val="00E566D4"/>
    <w:rsid w:val="00E6148F"/>
    <w:rsid w:val="00E66B88"/>
    <w:rsid w:val="00E94783"/>
    <w:rsid w:val="00E96E61"/>
    <w:rsid w:val="00EA3FD1"/>
    <w:rsid w:val="00EB372D"/>
    <w:rsid w:val="00EC34C4"/>
    <w:rsid w:val="00ED02DB"/>
    <w:rsid w:val="00ED6611"/>
    <w:rsid w:val="00F373F1"/>
    <w:rsid w:val="00F7209E"/>
    <w:rsid w:val="00F934FC"/>
    <w:rsid w:val="00FB3B05"/>
    <w:rsid w:val="00FC7C03"/>
    <w:rsid w:val="00FE3922"/>
    <w:rsid w:val="00FF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38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26786"/>
    <w:pPr>
      <w:tabs>
        <w:tab w:val="right" w:leader="dot" w:pos="8834"/>
      </w:tabs>
      <w:adjustRightInd w:val="0"/>
      <w:snapToGrid w:val="0"/>
      <w:spacing w:line="360" w:lineRule="auto"/>
      <w:jc w:val="left"/>
      <w:outlineLvl w:val="0"/>
    </w:pPr>
    <w:rPr>
      <w:b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138E3"/>
    <w:rPr>
      <w:rFonts w:asciiTheme="majorHAnsi" w:eastAsiaTheme="majorEastAsia" w:hAnsiTheme="majorHAnsi" w:cstheme="majorBidi"/>
      <w:b/>
      <w:bCs/>
      <w:szCs w:val="32"/>
    </w:rPr>
  </w:style>
  <w:style w:type="paragraph" w:customStyle="1" w:styleId="msonormal0">
    <w:name w:val="msonormal"/>
    <w:basedOn w:val="a"/>
    <w:rsid w:val="00734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hc.gov.cn/xcs/yqtb/202211/1c304953c3114abea007580879842d5a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055B-5C3C-4678-9931-F2A89889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4037</Characters>
  <Application>Microsoft Office Word</Application>
  <DocSecurity>0</DocSecurity>
  <Lines>33</Lines>
  <Paragraphs>9</Paragraphs>
  <ScaleCrop>false</ScaleCrop>
  <Company>Microsoft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2023-03-06T06:22:00Z</cp:lastPrinted>
  <dcterms:created xsi:type="dcterms:W3CDTF">2023-07-28T01:28:00Z</dcterms:created>
  <dcterms:modified xsi:type="dcterms:W3CDTF">2023-07-28T01:34:00Z</dcterms:modified>
</cp:coreProperties>
</file>