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281983" w:rsidP="00726786">
      <w:pPr>
        <w:adjustRightInd w:val="0"/>
        <w:snapToGrid w:val="0"/>
        <w:spacing w:line="360" w:lineRule="auto"/>
        <w:jc w:val="left"/>
        <w:rPr>
          <w:rFonts w:asciiTheme="minorEastAsia" w:hAnsiTheme="minorEastAsia"/>
          <w:color w:val="000000" w:themeColor="text1"/>
          <w:sz w:val="24"/>
          <w:szCs w:val="24"/>
        </w:rPr>
      </w:pPr>
      <w:r w:rsidRPr="00281983">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726786" w:rsidRPr="00D4169C">
        <w:rPr>
          <w:rFonts w:asciiTheme="minorEastAsia" w:hAnsiTheme="minorEastAsia" w:hint="eastAsia"/>
          <w:color w:val="000000" w:themeColor="text1"/>
          <w:sz w:val="24"/>
          <w:szCs w:val="24"/>
        </w:rPr>
        <w:t>20</w:t>
      </w:r>
      <w:r w:rsidR="00726786">
        <w:rPr>
          <w:rFonts w:asciiTheme="minorEastAsia" w:hAnsiTheme="minorEastAsia" w:hint="eastAsia"/>
          <w:color w:val="000000" w:themeColor="text1"/>
          <w:sz w:val="24"/>
          <w:szCs w:val="24"/>
        </w:rPr>
        <w:t>2</w:t>
      </w:r>
      <w:r w:rsidR="003E1EBB">
        <w:rPr>
          <w:rFonts w:asciiTheme="minorEastAsia" w:hAnsiTheme="minorEastAsia" w:hint="eastAsia"/>
          <w:color w:val="000000" w:themeColor="text1"/>
          <w:sz w:val="24"/>
          <w:szCs w:val="24"/>
        </w:rPr>
        <w:t>3</w:t>
      </w:r>
      <w:r w:rsidR="00726786" w:rsidRPr="00D4169C">
        <w:rPr>
          <w:rFonts w:asciiTheme="minorEastAsia" w:hAnsiTheme="minorEastAsia" w:hint="eastAsia"/>
          <w:color w:val="000000" w:themeColor="text1"/>
          <w:sz w:val="24"/>
          <w:szCs w:val="24"/>
        </w:rPr>
        <w:t>年第</w:t>
      </w:r>
      <w:r w:rsidR="00CF1BF4" w:rsidRPr="00CF1BF4">
        <w:rPr>
          <w:rFonts w:asciiTheme="minorEastAsia" w:hAnsiTheme="minorEastAsia" w:hint="eastAsia"/>
          <w:color w:val="000000" w:themeColor="text1"/>
          <w:sz w:val="24"/>
          <w:szCs w:val="24"/>
        </w:rPr>
        <w:t>5</w:t>
      </w:r>
      <w:r w:rsidR="00726786" w:rsidRPr="00D4169C">
        <w:rPr>
          <w:rFonts w:asciiTheme="minorEastAsia" w:hAnsiTheme="minorEastAsia" w:hint="eastAsia"/>
          <w:color w:val="000000" w:themeColor="text1"/>
          <w:sz w:val="24"/>
          <w:szCs w:val="24"/>
        </w:rPr>
        <w:t>期（20</w:t>
      </w:r>
      <w:r w:rsidR="00726786">
        <w:rPr>
          <w:rFonts w:asciiTheme="minorEastAsia" w:hAnsiTheme="minorEastAsia" w:hint="eastAsia"/>
          <w:color w:val="000000" w:themeColor="text1"/>
          <w:sz w:val="24"/>
          <w:szCs w:val="24"/>
        </w:rPr>
        <w:t>2</w:t>
      </w:r>
      <w:r w:rsidR="00A37B02">
        <w:rPr>
          <w:rFonts w:asciiTheme="minorEastAsia" w:hAnsiTheme="minorEastAsia" w:hint="eastAsia"/>
          <w:color w:val="000000" w:themeColor="text1"/>
          <w:sz w:val="24"/>
          <w:szCs w:val="24"/>
        </w:rPr>
        <w:t>3</w:t>
      </w:r>
      <w:r w:rsidR="00726786" w:rsidRPr="00D4169C">
        <w:rPr>
          <w:rFonts w:asciiTheme="minorEastAsia" w:hAnsiTheme="minorEastAsia" w:hint="eastAsia"/>
          <w:color w:val="000000" w:themeColor="text1"/>
          <w:sz w:val="24"/>
          <w:szCs w:val="24"/>
        </w:rPr>
        <w:t>年</w:t>
      </w:r>
      <w:r w:rsidR="005F641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月</w:t>
      </w:r>
      <w:r w:rsidR="006B7438">
        <w:rPr>
          <w:rFonts w:asciiTheme="minorEastAsia" w:hAnsiTheme="minorEastAsia" w:hint="eastAsia"/>
          <w:color w:val="000000" w:themeColor="text1"/>
          <w:sz w:val="24"/>
          <w:szCs w:val="24"/>
        </w:rPr>
        <w:t>6</w:t>
      </w:r>
      <w:r w:rsidR="00726786" w:rsidRPr="00D4169C">
        <w:rPr>
          <w:rFonts w:asciiTheme="minorEastAsia" w:hAnsiTheme="minorEastAsia" w:hint="eastAsia"/>
          <w:color w:val="000000" w:themeColor="text1"/>
          <w:sz w:val="24"/>
          <w:szCs w:val="24"/>
        </w:rPr>
        <w:t>日-</w:t>
      </w:r>
      <w:r w:rsidR="00A37B02">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月</w:t>
      </w:r>
      <w:r w:rsidR="00A37B02">
        <w:rPr>
          <w:rFonts w:asciiTheme="minorEastAsia" w:hAnsiTheme="minorEastAsia" w:hint="eastAsia"/>
          <w:color w:val="000000" w:themeColor="text1"/>
          <w:sz w:val="24"/>
          <w:szCs w:val="24"/>
        </w:rPr>
        <w:t>12</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CF1BF4" w:rsidRDefault="00281983">
      <w:pPr>
        <w:pStyle w:val="10"/>
        <w:rPr>
          <w:b w:val="0"/>
          <w:noProof/>
          <w:sz w:val="21"/>
          <w:szCs w:val="22"/>
          <w:shd w:val="clear" w:color="auto" w:fill="auto"/>
        </w:rPr>
      </w:pPr>
      <w:r w:rsidRPr="00281983">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281983">
        <w:rPr>
          <w:rFonts w:ascii="黑体" w:eastAsia="黑体"/>
          <w:color w:val="000000" w:themeColor="text1"/>
          <w:sz w:val="28"/>
          <w:szCs w:val="28"/>
        </w:rPr>
        <w:fldChar w:fldCharType="separate"/>
      </w:r>
      <w:hyperlink w:anchor="_Toc127176099" w:history="1">
        <w:r w:rsidR="00CF1BF4" w:rsidRPr="005E6054">
          <w:rPr>
            <w:rStyle w:val="a4"/>
            <w:rFonts w:asciiTheme="minorEastAsia" w:hAnsiTheme="minorEastAsia" w:cs="宋体" w:hint="eastAsia"/>
            <w:noProof/>
            <w:kern w:val="0"/>
          </w:rPr>
          <w:t>多地宣布开展新冠抗体检测服务</w:t>
        </w:r>
        <w:r w:rsidR="00CF1BF4">
          <w:rPr>
            <w:noProof/>
            <w:webHidden/>
          </w:rPr>
          <w:tab/>
        </w:r>
        <w:r w:rsidR="00CF1BF4">
          <w:rPr>
            <w:noProof/>
            <w:webHidden/>
          </w:rPr>
          <w:fldChar w:fldCharType="begin"/>
        </w:r>
        <w:r w:rsidR="00CF1BF4">
          <w:rPr>
            <w:noProof/>
            <w:webHidden/>
          </w:rPr>
          <w:instrText xml:space="preserve"> PAGEREF _Toc127176099 \h </w:instrText>
        </w:r>
        <w:r w:rsidR="00CF1BF4">
          <w:rPr>
            <w:noProof/>
            <w:webHidden/>
          </w:rPr>
        </w:r>
        <w:r w:rsidR="00CF1BF4">
          <w:rPr>
            <w:noProof/>
            <w:webHidden/>
          </w:rPr>
          <w:fldChar w:fldCharType="separate"/>
        </w:r>
        <w:r w:rsidR="003E1EBB">
          <w:rPr>
            <w:noProof/>
            <w:webHidden/>
          </w:rPr>
          <w:t>1</w:t>
        </w:r>
        <w:r w:rsidR="00CF1BF4">
          <w:rPr>
            <w:noProof/>
            <w:webHidden/>
          </w:rPr>
          <w:fldChar w:fldCharType="end"/>
        </w:r>
      </w:hyperlink>
    </w:p>
    <w:p w:rsidR="00CF1BF4" w:rsidRDefault="00CF1BF4">
      <w:pPr>
        <w:pStyle w:val="10"/>
        <w:rPr>
          <w:b w:val="0"/>
          <w:noProof/>
          <w:sz w:val="21"/>
          <w:szCs w:val="22"/>
          <w:shd w:val="clear" w:color="auto" w:fill="auto"/>
        </w:rPr>
      </w:pPr>
      <w:hyperlink w:anchor="_Toc127176100" w:history="1">
        <w:r w:rsidRPr="005E6054">
          <w:rPr>
            <w:rStyle w:val="a4"/>
            <w:rFonts w:asciiTheme="minorEastAsia" w:hAnsiTheme="minorEastAsia" w:cs="宋体" w:hint="eastAsia"/>
            <w:noProof/>
            <w:kern w:val="0"/>
          </w:rPr>
          <w:t>国家卫生健康委印发四个食养指南</w:t>
        </w:r>
        <w:r>
          <w:rPr>
            <w:noProof/>
            <w:webHidden/>
          </w:rPr>
          <w:tab/>
        </w:r>
        <w:r>
          <w:rPr>
            <w:noProof/>
            <w:webHidden/>
          </w:rPr>
          <w:fldChar w:fldCharType="begin"/>
        </w:r>
        <w:r>
          <w:rPr>
            <w:noProof/>
            <w:webHidden/>
          </w:rPr>
          <w:instrText xml:space="preserve"> PAGEREF _Toc127176100 \h </w:instrText>
        </w:r>
        <w:r>
          <w:rPr>
            <w:noProof/>
            <w:webHidden/>
          </w:rPr>
        </w:r>
        <w:r>
          <w:rPr>
            <w:noProof/>
            <w:webHidden/>
          </w:rPr>
          <w:fldChar w:fldCharType="separate"/>
        </w:r>
        <w:r w:rsidR="003E1EBB">
          <w:rPr>
            <w:noProof/>
            <w:webHidden/>
          </w:rPr>
          <w:t>3</w:t>
        </w:r>
        <w:r>
          <w:rPr>
            <w:noProof/>
            <w:webHidden/>
          </w:rPr>
          <w:fldChar w:fldCharType="end"/>
        </w:r>
      </w:hyperlink>
    </w:p>
    <w:p w:rsidR="00CF1BF4" w:rsidRDefault="00CF1BF4">
      <w:pPr>
        <w:pStyle w:val="10"/>
        <w:rPr>
          <w:b w:val="0"/>
          <w:noProof/>
          <w:sz w:val="21"/>
          <w:szCs w:val="22"/>
          <w:shd w:val="clear" w:color="auto" w:fill="auto"/>
        </w:rPr>
      </w:pPr>
      <w:hyperlink w:anchor="_Toc127176101" w:history="1">
        <w:r w:rsidRPr="005E6054">
          <w:rPr>
            <w:rStyle w:val="a4"/>
            <w:rFonts w:asciiTheme="minorEastAsia" w:hAnsiTheme="minorEastAsia" w:cs="宋体" w:hint="eastAsia"/>
            <w:noProof/>
            <w:kern w:val="0"/>
          </w:rPr>
          <w:t>新冠病毒去哪了？它会消失吗？专家回应</w:t>
        </w:r>
        <w:r>
          <w:rPr>
            <w:noProof/>
            <w:webHidden/>
          </w:rPr>
          <w:tab/>
        </w:r>
        <w:r>
          <w:rPr>
            <w:noProof/>
            <w:webHidden/>
          </w:rPr>
          <w:fldChar w:fldCharType="begin"/>
        </w:r>
        <w:r>
          <w:rPr>
            <w:noProof/>
            <w:webHidden/>
          </w:rPr>
          <w:instrText xml:space="preserve"> PAGEREF _Toc127176101 \h </w:instrText>
        </w:r>
        <w:r>
          <w:rPr>
            <w:noProof/>
            <w:webHidden/>
          </w:rPr>
        </w:r>
        <w:r>
          <w:rPr>
            <w:noProof/>
            <w:webHidden/>
          </w:rPr>
          <w:fldChar w:fldCharType="separate"/>
        </w:r>
        <w:r w:rsidR="003E1EBB">
          <w:rPr>
            <w:noProof/>
            <w:webHidden/>
          </w:rPr>
          <w:t>3</w:t>
        </w:r>
        <w:r>
          <w:rPr>
            <w:noProof/>
            <w:webHidden/>
          </w:rPr>
          <w:fldChar w:fldCharType="end"/>
        </w:r>
      </w:hyperlink>
    </w:p>
    <w:p w:rsidR="00CF1BF4" w:rsidRDefault="00CF1BF4">
      <w:pPr>
        <w:pStyle w:val="10"/>
        <w:rPr>
          <w:b w:val="0"/>
          <w:noProof/>
          <w:sz w:val="21"/>
          <w:szCs w:val="22"/>
          <w:shd w:val="clear" w:color="auto" w:fill="auto"/>
        </w:rPr>
      </w:pPr>
      <w:hyperlink w:anchor="_Toc127176102" w:history="1">
        <w:r w:rsidRPr="005E6054">
          <w:rPr>
            <w:rStyle w:val="a4"/>
            <w:rFonts w:asciiTheme="minorEastAsia" w:hAnsiTheme="minorEastAsia" w:cs="宋体" w:hint="eastAsia"/>
            <w:noProof/>
            <w:kern w:val="0"/>
          </w:rPr>
          <w:t>国家卫健委：组建紧密型县域医共体</w:t>
        </w:r>
        <w:r w:rsidRPr="005E6054">
          <w:rPr>
            <w:rStyle w:val="a4"/>
            <w:rFonts w:asciiTheme="minorEastAsia" w:hAnsiTheme="minorEastAsia" w:cs="宋体"/>
            <w:noProof/>
            <w:kern w:val="0"/>
          </w:rPr>
          <w:t> </w:t>
        </w:r>
        <w:r w:rsidRPr="005E6054">
          <w:rPr>
            <w:rStyle w:val="a4"/>
            <w:rFonts w:asciiTheme="minorEastAsia" w:hAnsiTheme="minorEastAsia" w:cs="宋体" w:hint="eastAsia"/>
            <w:noProof/>
            <w:kern w:val="0"/>
          </w:rPr>
          <w:t>患者实现双向转诊</w:t>
        </w:r>
        <w:r>
          <w:rPr>
            <w:noProof/>
            <w:webHidden/>
          </w:rPr>
          <w:tab/>
        </w:r>
        <w:r>
          <w:rPr>
            <w:noProof/>
            <w:webHidden/>
          </w:rPr>
          <w:fldChar w:fldCharType="begin"/>
        </w:r>
        <w:r>
          <w:rPr>
            <w:noProof/>
            <w:webHidden/>
          </w:rPr>
          <w:instrText xml:space="preserve"> PAGEREF _Toc127176102 \h </w:instrText>
        </w:r>
        <w:r>
          <w:rPr>
            <w:noProof/>
            <w:webHidden/>
          </w:rPr>
        </w:r>
        <w:r>
          <w:rPr>
            <w:noProof/>
            <w:webHidden/>
          </w:rPr>
          <w:fldChar w:fldCharType="separate"/>
        </w:r>
        <w:r w:rsidR="003E1EBB">
          <w:rPr>
            <w:noProof/>
            <w:webHidden/>
          </w:rPr>
          <w:t>4</w:t>
        </w:r>
        <w:r>
          <w:rPr>
            <w:noProof/>
            <w:webHidden/>
          </w:rPr>
          <w:fldChar w:fldCharType="end"/>
        </w:r>
      </w:hyperlink>
    </w:p>
    <w:p w:rsidR="007C5DFF" w:rsidRPr="00815E71" w:rsidRDefault="00281983" w:rsidP="00D641D2">
      <w:pPr>
        <w:pStyle w:val="1"/>
        <w:adjustRightInd w:val="0"/>
        <w:snapToGrid w:val="0"/>
        <w:spacing w:before="0" w:after="0" w:line="360" w:lineRule="auto"/>
        <w:rPr>
          <w:rFonts w:asciiTheme="minorEastAsia" w:hAnsiTheme="minorEastAsia" w:cs="Times New Roman"/>
          <w:color w:val="333333"/>
          <w:sz w:val="21"/>
          <w:szCs w:val="21"/>
        </w:rPr>
      </w:pPr>
      <w:r>
        <w:rPr>
          <w:rFonts w:ascii="黑体" w:eastAsia="黑体"/>
          <w:color w:val="000000" w:themeColor="text1"/>
          <w:sz w:val="28"/>
          <w:szCs w:val="28"/>
        </w:rPr>
        <w:fldChar w:fldCharType="end"/>
      </w:r>
      <w:bookmarkStart w:id="0" w:name="_Toc95207749"/>
      <w:bookmarkStart w:id="1" w:name="_Toc95727665"/>
      <w:r w:rsidR="00D641D2" w:rsidRPr="00815E71">
        <w:rPr>
          <w:rFonts w:asciiTheme="minorEastAsia" w:hAnsiTheme="minorEastAsia" w:cs="Times New Roman"/>
          <w:color w:val="333333"/>
          <w:szCs w:val="21"/>
        </w:rPr>
        <w:t xml:space="preserve"> </w:t>
      </w:r>
    </w:p>
    <w:bookmarkEnd w:id="0"/>
    <w:bookmarkEnd w:id="1"/>
    <w:p w:rsidR="00FE1C88" w:rsidRPr="00FE1C88" w:rsidRDefault="00FE1C88" w:rsidP="000C2BC9">
      <w:pPr>
        <w:shd w:val="clear" w:color="auto" w:fill="FFFFFF"/>
        <w:adjustRightInd w:val="0"/>
        <w:snapToGrid w:val="0"/>
        <w:spacing w:line="360" w:lineRule="auto"/>
        <w:ind w:firstLine="390"/>
        <w:rPr>
          <w:rFonts w:asciiTheme="minorEastAsia" w:hAnsiTheme="minorEastAsia" w:cs="Times New Roman"/>
          <w:color w:val="333333"/>
          <w:sz w:val="24"/>
          <w:szCs w:val="24"/>
        </w:rPr>
      </w:pPr>
    </w:p>
    <w:p w:rsidR="000C2BC9" w:rsidRPr="000C2BC9" w:rsidRDefault="000C2BC9" w:rsidP="000C2BC9">
      <w:pPr>
        <w:pStyle w:val="1"/>
        <w:adjustRightInd w:val="0"/>
        <w:snapToGrid w:val="0"/>
        <w:spacing w:before="0" w:after="0" w:line="360" w:lineRule="auto"/>
        <w:rPr>
          <w:rFonts w:asciiTheme="minorEastAsia" w:hAnsiTheme="minorEastAsia" w:cs="宋体"/>
          <w:color w:val="333333"/>
          <w:kern w:val="0"/>
          <w:sz w:val="24"/>
          <w:szCs w:val="24"/>
        </w:rPr>
      </w:pPr>
      <w:bookmarkStart w:id="2" w:name="_Toc127176099"/>
      <w:r w:rsidRPr="000C2BC9">
        <w:rPr>
          <w:rFonts w:asciiTheme="minorEastAsia" w:hAnsiTheme="minorEastAsia" w:cs="宋体" w:hint="eastAsia"/>
          <w:color w:val="333333"/>
          <w:kern w:val="0"/>
          <w:sz w:val="24"/>
          <w:szCs w:val="24"/>
        </w:rPr>
        <w:t>多地宣布开展新冠抗体检测服务</w:t>
      </w:r>
      <w:bookmarkEnd w:id="2"/>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(2023-02-06 澎湃新闻)</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近日，深圳、湖南、湖北武汉等多地发布通知，开展新冠病毒抗体检测。</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2月3日，湖南疾控微信公众号发出关于开展新型冠状病毒2019-nCoV抗体检测服务的通知：自2月7日起，湖南省疾病预防控制中心开展新型冠状病毒2019-nCoV抗体检测服务。</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通知提到，新型冠状病毒2019-nCoV抗体检测费用为32元，有需求的市民可到湖南省疾病预防控制中心门诊部二楼导诊台现场预约，即时抽血进行抗体检测，每日限号100人。采样后的第二个工作日下午4点可以在门诊部二楼导诊台领取纸质报告。</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据中国新闻网报道，日前，北京市疾控中心副主任王全意接受媒体采访时介绍，北京市即将开展人群血清抗体调查。</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据王全意介绍，北京市人群血清抗体水平调查计划于今年2月至3月完成。该调查采取多阶段分层随机抽样调查方法，从16个辖区和经开区中选取约5000名社区人群，进行问卷调查和血清学标本采集。</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对于北京此次开展的人群血清抗体调查，王全意表示，考虑到随着时间推移，抗体水平也会自然下降，将来根据需要，可能开展动态评估。</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1月14日，武汉市疾病预防控制中心官方微信发布公告，通知自1月15日起，武汉疾控预防医学服务中心新增一项检测服务——新冠病毒抗体水平检测服务，可预约采样时间为每天上午9:00- 12:00，下午14:00-17:00。</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近日，深圳市罗湖医院集团医学检验中心官方微信公众号发布通知，为了应对疫情变化，深圳市罗湖医院集团医学实验室已开展新型冠状病毒2019-nCoV抗体检测项目，包括新型冠状病毒2019-nCoV抗体IgM和IgG检测。</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lastRenderedPageBreak/>
        <w:t>据该院公众号预约平台信息显示，新型冠状病毒2019-nCoV抗体检测定价32.6元/次，每日10点以前采样，当日17:00发送报告。</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抗体检测定价</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据罗湖医院集团医学检验中心介绍，新冠抗体检测可辅助诊断新冠感染。</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新冠IgM抗体作为急性感染指标之一——</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当IgM检测结果为阳性，提示存在近期新型冠状病毒感染可能；</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IgG抗体由阴性转阳性，或者是IgG抗体滴度较急性期四倍及以上升高，也意味着可能为新近感染的确诊病例。</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发生近期感染的患者，存在临床肺炎症状表型的需结合临床积极抗感染治疗。新冠抗体的检测项目为可疑重症肺炎诊断提供诊断依据。</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预约教程</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新冠病毒抗体检测是什么？它是起什么作用的？有什么意义？一起来了解：</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1什么是新冠病毒抗体</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新冠病毒抗体，是感染新冠病毒后机体自我产生的免疫反应标志性物质，其种类较多，其中有IgM抗体和IgG抗体。</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一般在新冠病毒感染约5天左右时，血清中逐渐产生免疫反应标志性抗体中的IgM抗体，该抗体维持时间一般较短，约为2~3周，衰减较快。而免疫反应标志性的IgG抗体一般出现在IgM抗体之后，在IgM抗体接近消失时，其水平可达到高峰值，并且能在血液中维持较长时间。而当机体再次感染相同的病毒后，其IgG抗体水平可在短期内迅速增高，从而起到一定的免疫作用。</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因此——</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IgM抗体增高可提示近期或急性感染；</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IgG抗体增高可提示既往感染或感染恢复期。</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2新冠病毒抗体检测的意义与结果解读</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新冠病毒抗体检测可以作为新冠病毒感染辅助诊断的依据，其结果也可用于新冠病毒疫苗接种时间及接种方案的推荐依据。</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若新冠IgM抗体检测为阳性且有相关临床症状，可作为新冠病毒感染的辅助性诊断依据，当新冠IgM抗体阳性时，无论是否出现临床症状，均暂不推荐接种新冠病毒疫苗。</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若单纯的新冠病毒IgG抗体阳性，IgM抗体阴性，则提示该患者既往感染过新型冠状病毒且已基本恢复，或者提示曾经接种过新冠疫苗。因此新冠抗体检测结果也可用于新冠病毒疫苗接种时间及接种方案的推荐依据。</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若新冠病毒IgM和IgG抗体同时阳性，提示受检者可能正在被新冠病毒感染，需要进一步排查。此外，另一种可能性是，如果受检者在两周前后接种过新冠病毒疫苗，也可能会导致IgG和IgM抗体阳性。</w:t>
      </w:r>
    </w:p>
    <w:p w:rsidR="000C2BC9" w:rsidRDefault="000C2BC9" w:rsidP="000C2BC9">
      <w:pPr>
        <w:widowControl/>
        <w:adjustRightInd w:val="0"/>
        <w:snapToGrid w:val="0"/>
        <w:spacing w:line="360" w:lineRule="auto"/>
        <w:ind w:firstLine="420"/>
        <w:jc w:val="left"/>
        <w:rPr>
          <w:rFonts w:asciiTheme="minorEastAsia" w:hAnsiTheme="minorEastAsia" w:cs="Times New Roman"/>
          <w:color w:val="333333"/>
          <w:kern w:val="0"/>
          <w:szCs w:val="21"/>
        </w:rPr>
      </w:pPr>
      <w:r w:rsidRPr="000C2BC9">
        <w:rPr>
          <w:rFonts w:asciiTheme="minorEastAsia" w:hAnsiTheme="minorEastAsia" w:cs="宋体" w:hint="eastAsia"/>
          <w:color w:val="333333"/>
          <w:kern w:val="0"/>
          <w:szCs w:val="21"/>
        </w:rPr>
        <w:t>摘引网址：</w:t>
      </w:r>
      <w:r w:rsidRPr="000C2BC9">
        <w:rPr>
          <w:rFonts w:asciiTheme="minorEastAsia" w:hAnsiTheme="minorEastAsia" w:cs="Times New Roman"/>
          <w:color w:val="333333"/>
          <w:kern w:val="0"/>
          <w:szCs w:val="21"/>
        </w:rPr>
        <w:t>https://www.163.com/news/article/HSSTJSBT0001899O.html</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p>
    <w:p w:rsidR="000C2BC9" w:rsidRPr="000C2BC9" w:rsidRDefault="000C2BC9" w:rsidP="000C2BC9">
      <w:pPr>
        <w:pStyle w:val="1"/>
        <w:adjustRightInd w:val="0"/>
        <w:snapToGrid w:val="0"/>
        <w:spacing w:before="0" w:after="0" w:line="360" w:lineRule="auto"/>
        <w:rPr>
          <w:rFonts w:asciiTheme="minorEastAsia" w:hAnsiTheme="minorEastAsia" w:cs="宋体"/>
          <w:color w:val="333333"/>
          <w:kern w:val="0"/>
          <w:sz w:val="24"/>
          <w:szCs w:val="24"/>
        </w:rPr>
      </w:pPr>
      <w:bookmarkStart w:id="3" w:name="_Toc127176100"/>
      <w:r w:rsidRPr="000C2BC9">
        <w:rPr>
          <w:rFonts w:asciiTheme="minorEastAsia" w:hAnsiTheme="minorEastAsia" w:cs="宋体" w:hint="eastAsia"/>
          <w:color w:val="333333"/>
          <w:kern w:val="0"/>
          <w:sz w:val="24"/>
          <w:szCs w:val="24"/>
        </w:rPr>
        <w:t>国家卫生健康委印发四个食养指南</w:t>
      </w:r>
      <w:bookmarkEnd w:id="3"/>
    </w:p>
    <w:p w:rsidR="000C2BC9" w:rsidRPr="000C2BC9" w:rsidRDefault="000C2BC9" w:rsidP="000C2BC9">
      <w:pPr>
        <w:widowControl/>
        <w:adjustRightInd w:val="0"/>
        <w:snapToGrid w:val="0"/>
        <w:spacing w:line="360" w:lineRule="auto"/>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(2023-02-07   健康报)</w:t>
      </w:r>
    </w:p>
    <w:p w:rsidR="000C2BC9" w:rsidRPr="000C2BC9" w:rsidRDefault="000C2BC9" w:rsidP="000C2BC9">
      <w:pPr>
        <w:widowControl/>
        <w:adjustRightInd w:val="0"/>
        <w:snapToGrid w:val="0"/>
        <w:spacing w:line="360" w:lineRule="auto"/>
        <w:jc w:val="left"/>
        <w:rPr>
          <w:rFonts w:asciiTheme="minorEastAsia" w:hAnsiTheme="minorEastAsia" w:cs="宋体"/>
          <w:color w:val="333333"/>
          <w:kern w:val="0"/>
          <w:szCs w:val="21"/>
        </w:rPr>
      </w:pPr>
      <w:r w:rsidRPr="000C2BC9">
        <w:rPr>
          <w:rFonts w:asciiTheme="minorEastAsia" w:hAnsiTheme="minorEastAsia" w:cs="Times New Roman"/>
          <w:color w:val="333333"/>
          <w:kern w:val="0"/>
          <w:szCs w:val="21"/>
        </w:rPr>
        <w:t> </w:t>
      </w:r>
      <w:r w:rsidRPr="000C2BC9">
        <w:rPr>
          <w:rFonts w:asciiTheme="minorEastAsia" w:hAnsi="Times New Roman" w:cs="Times New Roman"/>
          <w:color w:val="333333"/>
          <w:kern w:val="0"/>
          <w:szCs w:val="21"/>
        </w:rPr>
        <w:t> </w:t>
      </w:r>
      <w:r w:rsidRPr="000C2BC9">
        <w:rPr>
          <w:rFonts w:asciiTheme="minorEastAsia" w:hAnsi="Times New Roman" w:cs="Times New Roman"/>
          <w:color w:val="333333"/>
          <w:kern w:val="0"/>
          <w:szCs w:val="21"/>
        </w:rPr>
        <w:t> </w:t>
      </w:r>
      <w:r w:rsidRPr="000C2BC9">
        <w:rPr>
          <w:rFonts w:asciiTheme="minorEastAsia" w:hAnsiTheme="minorEastAsia" w:cs="宋体" w:hint="eastAsia"/>
          <w:color w:val="333333"/>
          <w:kern w:val="0"/>
          <w:szCs w:val="21"/>
        </w:rPr>
        <w:t>本报讯（记者</w:t>
      </w:r>
      <w:r w:rsidRPr="000C2BC9">
        <w:rPr>
          <w:rFonts w:asciiTheme="minorEastAsia" w:hAnsiTheme="minorEastAsia" w:cs="Times New Roman"/>
          <w:color w:val="333333"/>
          <w:kern w:val="0"/>
          <w:szCs w:val="21"/>
        </w:rPr>
        <w:t> </w:t>
      </w:r>
      <w:r w:rsidRPr="000C2BC9">
        <w:rPr>
          <w:rFonts w:asciiTheme="minorEastAsia" w:hAnsiTheme="minorEastAsia" w:cs="宋体" w:hint="eastAsia"/>
          <w:color w:val="333333"/>
          <w:kern w:val="0"/>
          <w:szCs w:val="21"/>
        </w:rPr>
        <w:t>段梦兰）近日，国家卫生健康委办公厅印发《成人高脂血症食养指南（</w:t>
      </w:r>
      <w:r w:rsidRPr="000C2BC9">
        <w:rPr>
          <w:rFonts w:asciiTheme="minorEastAsia" w:hAnsiTheme="minorEastAsia" w:cs="Times New Roman"/>
          <w:color w:val="333333"/>
          <w:kern w:val="0"/>
          <w:szCs w:val="21"/>
        </w:rPr>
        <w:t>2023</w:t>
      </w:r>
      <w:r w:rsidRPr="000C2BC9">
        <w:rPr>
          <w:rFonts w:asciiTheme="minorEastAsia" w:hAnsiTheme="minorEastAsia" w:cs="宋体" w:hint="eastAsia"/>
          <w:color w:val="333333"/>
          <w:kern w:val="0"/>
          <w:szCs w:val="21"/>
        </w:rPr>
        <w:t>年版）》《成人高血压食养指南（</w:t>
      </w:r>
      <w:r w:rsidRPr="000C2BC9">
        <w:rPr>
          <w:rFonts w:asciiTheme="minorEastAsia" w:hAnsiTheme="minorEastAsia" w:cs="Times New Roman"/>
          <w:color w:val="333333"/>
          <w:kern w:val="0"/>
          <w:szCs w:val="21"/>
        </w:rPr>
        <w:t>2023</w:t>
      </w:r>
      <w:r w:rsidRPr="000C2BC9">
        <w:rPr>
          <w:rFonts w:asciiTheme="minorEastAsia" w:hAnsiTheme="minorEastAsia" w:cs="宋体" w:hint="eastAsia"/>
          <w:color w:val="333333"/>
          <w:kern w:val="0"/>
          <w:szCs w:val="21"/>
        </w:rPr>
        <w:t>年版）》《儿童青少年生长迟缓食养指南（</w:t>
      </w:r>
      <w:r w:rsidRPr="000C2BC9">
        <w:rPr>
          <w:rFonts w:asciiTheme="minorEastAsia" w:hAnsiTheme="minorEastAsia" w:cs="Times New Roman"/>
          <w:color w:val="333333"/>
          <w:kern w:val="0"/>
          <w:szCs w:val="21"/>
        </w:rPr>
        <w:t>2023</w:t>
      </w:r>
      <w:r w:rsidRPr="000C2BC9">
        <w:rPr>
          <w:rFonts w:asciiTheme="minorEastAsia" w:hAnsiTheme="minorEastAsia" w:cs="宋体" w:hint="eastAsia"/>
          <w:color w:val="333333"/>
          <w:kern w:val="0"/>
          <w:szCs w:val="21"/>
        </w:rPr>
        <w:t>年版）》《成人糖尿病食养指南（</w:t>
      </w:r>
      <w:r w:rsidRPr="000C2BC9">
        <w:rPr>
          <w:rFonts w:asciiTheme="minorEastAsia" w:hAnsiTheme="minorEastAsia" w:cs="Times New Roman"/>
          <w:color w:val="333333"/>
          <w:kern w:val="0"/>
          <w:szCs w:val="21"/>
        </w:rPr>
        <w:t>2023</w:t>
      </w:r>
      <w:r w:rsidRPr="000C2BC9">
        <w:rPr>
          <w:rFonts w:asciiTheme="minorEastAsia" w:hAnsiTheme="minorEastAsia" w:cs="宋体" w:hint="eastAsia"/>
          <w:color w:val="333333"/>
          <w:kern w:val="0"/>
          <w:szCs w:val="21"/>
        </w:rPr>
        <w:t>年版）》</w:t>
      </w:r>
      <w:r w:rsidRPr="000C2BC9">
        <w:rPr>
          <w:rFonts w:asciiTheme="minorEastAsia" w:hAnsiTheme="minorEastAsia" w:cs="Times New Roman"/>
          <w:color w:val="333333"/>
          <w:kern w:val="0"/>
          <w:szCs w:val="21"/>
        </w:rPr>
        <w:t>4</w:t>
      </w:r>
      <w:r w:rsidRPr="000C2BC9">
        <w:rPr>
          <w:rFonts w:asciiTheme="minorEastAsia" w:hAnsiTheme="minorEastAsia" w:cs="宋体" w:hint="eastAsia"/>
          <w:color w:val="333333"/>
          <w:kern w:val="0"/>
          <w:szCs w:val="21"/>
        </w:rPr>
        <w:t>个食养指南，鼓励居民合理搭配日常膳食，养成良好饮食习惯；鼓励基层卫生工作者（包括营养指导人员）结合工作需要及患者实际，运用指南辅助预防和改善慢性病。</w:t>
      </w:r>
    </w:p>
    <w:p w:rsidR="000C2BC9" w:rsidRPr="000C2BC9" w:rsidRDefault="000C2BC9" w:rsidP="000C2BC9">
      <w:pPr>
        <w:widowControl/>
        <w:adjustRightInd w:val="0"/>
        <w:snapToGrid w:val="0"/>
        <w:spacing w:line="360" w:lineRule="auto"/>
        <w:jc w:val="left"/>
        <w:rPr>
          <w:rFonts w:asciiTheme="minorEastAsia" w:hAnsiTheme="minorEastAsia" w:cs="宋体"/>
          <w:color w:val="333333"/>
          <w:kern w:val="0"/>
          <w:szCs w:val="21"/>
        </w:rPr>
      </w:pPr>
      <w:r w:rsidRPr="000C2BC9">
        <w:rPr>
          <w:rFonts w:asciiTheme="minorEastAsia" w:hAnsiTheme="minorEastAsia" w:cs="Times New Roman"/>
          <w:color w:val="333333"/>
          <w:kern w:val="0"/>
          <w:szCs w:val="21"/>
        </w:rPr>
        <w:t>4</w:t>
      </w:r>
      <w:r w:rsidRPr="000C2BC9">
        <w:rPr>
          <w:rFonts w:asciiTheme="minorEastAsia" w:hAnsi="Times New Roman" w:cs="Times New Roman"/>
          <w:color w:val="333333"/>
          <w:kern w:val="0"/>
          <w:szCs w:val="21"/>
        </w:rPr>
        <w:t> </w:t>
      </w:r>
      <w:r w:rsidRPr="000C2BC9">
        <w:rPr>
          <w:rFonts w:asciiTheme="minorEastAsia" w:hAnsi="Times New Roman" w:cs="Times New Roman"/>
          <w:color w:val="333333"/>
          <w:kern w:val="0"/>
          <w:szCs w:val="21"/>
        </w:rPr>
        <w:t> </w:t>
      </w:r>
      <w:r w:rsidRPr="000C2BC9">
        <w:rPr>
          <w:rFonts w:asciiTheme="minorEastAsia" w:hAnsiTheme="minorEastAsia" w:cs="宋体" w:hint="eastAsia"/>
          <w:color w:val="333333"/>
          <w:kern w:val="0"/>
          <w:szCs w:val="21"/>
        </w:rPr>
        <w:t>个食养指南分别根据高脂血症的疾病特点和分型、高血压的疾病特点和分型、儿童青少年生长迟缓的特点、糖尿病的疾病特点和分型，给出了食养原则和建议，并在附录中详细描述了不同人群的食物选择，不同证型推荐食药物质、食谱示例或食养方举例，以及不同地区、不同季节的食谱示例或常见食物交换表等工具。</w:t>
      </w:r>
    </w:p>
    <w:p w:rsidR="000C2BC9" w:rsidRDefault="000C2BC9" w:rsidP="000C2BC9">
      <w:pPr>
        <w:widowControl/>
        <w:adjustRightInd w:val="0"/>
        <w:snapToGrid w:val="0"/>
        <w:spacing w:line="360" w:lineRule="auto"/>
        <w:jc w:val="left"/>
        <w:rPr>
          <w:rFonts w:asciiTheme="minorEastAsia" w:hAnsiTheme="minorEastAsia" w:cs="Times New Roman"/>
          <w:color w:val="333333"/>
          <w:kern w:val="0"/>
          <w:szCs w:val="21"/>
        </w:rPr>
      </w:pPr>
      <w:r w:rsidRPr="000C2BC9">
        <w:rPr>
          <w:rFonts w:asciiTheme="minorEastAsia" w:hAnsiTheme="minorEastAsia" w:cs="Times New Roman"/>
          <w:color w:val="333333"/>
          <w:kern w:val="0"/>
          <w:szCs w:val="21"/>
        </w:rPr>
        <w:t>    </w:t>
      </w:r>
      <w:r w:rsidRPr="000C2BC9">
        <w:rPr>
          <w:rFonts w:asciiTheme="minorEastAsia" w:hAnsiTheme="minorEastAsia" w:cs="宋体" w:hint="eastAsia"/>
          <w:color w:val="333333"/>
          <w:kern w:val="0"/>
          <w:szCs w:val="21"/>
        </w:rPr>
        <w:t>摘引网址：</w:t>
      </w:r>
      <w:r w:rsidRPr="000C2BC9">
        <w:rPr>
          <w:rFonts w:asciiTheme="minorEastAsia" w:hAnsiTheme="minorEastAsia" w:cs="Times New Roman"/>
          <w:color w:val="333333"/>
          <w:kern w:val="0"/>
          <w:szCs w:val="21"/>
        </w:rPr>
        <w:t>https://www.jkb.com.cn/news/industryNews/2023/0207/487967.html</w:t>
      </w:r>
    </w:p>
    <w:p w:rsidR="000C2BC9" w:rsidRPr="000C2BC9" w:rsidRDefault="000C2BC9" w:rsidP="000C2BC9">
      <w:pPr>
        <w:widowControl/>
        <w:adjustRightInd w:val="0"/>
        <w:snapToGrid w:val="0"/>
        <w:spacing w:line="360" w:lineRule="auto"/>
        <w:jc w:val="left"/>
        <w:rPr>
          <w:rFonts w:asciiTheme="minorEastAsia" w:hAnsiTheme="minorEastAsia" w:cs="宋体"/>
          <w:color w:val="333333"/>
          <w:kern w:val="0"/>
          <w:szCs w:val="21"/>
        </w:rPr>
      </w:pPr>
    </w:p>
    <w:p w:rsidR="000C2BC9" w:rsidRPr="000C2BC9" w:rsidRDefault="000C2BC9" w:rsidP="000C2BC9">
      <w:pPr>
        <w:pStyle w:val="1"/>
        <w:adjustRightInd w:val="0"/>
        <w:snapToGrid w:val="0"/>
        <w:spacing w:before="0" w:after="0" w:line="360" w:lineRule="auto"/>
        <w:rPr>
          <w:rFonts w:asciiTheme="minorEastAsia" w:hAnsiTheme="minorEastAsia" w:cs="宋体"/>
          <w:color w:val="333333"/>
          <w:kern w:val="0"/>
          <w:sz w:val="24"/>
          <w:szCs w:val="24"/>
        </w:rPr>
      </w:pPr>
      <w:bookmarkStart w:id="4" w:name="_Toc127176101"/>
      <w:r w:rsidRPr="000C2BC9">
        <w:rPr>
          <w:rFonts w:asciiTheme="minorEastAsia" w:hAnsiTheme="minorEastAsia" w:cs="宋体" w:hint="eastAsia"/>
          <w:color w:val="333333"/>
          <w:kern w:val="0"/>
          <w:sz w:val="24"/>
          <w:szCs w:val="24"/>
        </w:rPr>
        <w:t>新冠病毒去哪了？它会消失吗？专家回应</w:t>
      </w:r>
      <w:bookmarkEnd w:id="4"/>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(2023-02-08 中国新闻网)</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中新网北京2月8日电(韦香惠)近日，关于“新冠病毒去哪儿了”的问题引起广泛讨论。多省市疾控中心发布提示，目前多地处于病例散发状态，尚未检测到新的变异株。与此同时，随着天气变暖，有网友发出疑问——新冠病毒还会有哪些变化？进入春夏季节后，新冠病毒会消失吗？</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如何看待当前病例散发状态？</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据人民日报健康时报客户端报道，近期，大家感觉身边的新冠感染者很少了。北京、湖北、四川等多省市疾控中心发布最新提示，目前多地处于病例散发状态，尚未检测到新的变异株。</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对此，北京佑安医院呼吸与感染性疾病科主任医师李侗曾向中新网解释，病例散发是因为过去一两个月内，大部分地区超过80%的人感染后形成了免疫屏障。他表示，短时间内不会再出现类似之前的大量感染。不过，由于还有一小部分人没有感染，这种散发有可能导致今后出现下一轮疫情。</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再感染会受到哪些因素影响？</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李侗曾表示，病毒传播需要有易感人群，一旦大家抗体水平较低后，就有可能引发下一轮。如果病毒不发生特别明显的变异，之前感染所产生的抗体能够保护半年以上，下一轮感染时间可能是半年以后。</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德国埃森大学医学院病毒研究所教授陆蒙吉认为，中国后续新冠病毒传播可能呈波动式，出现时间和病毒传播情况会受到新毒株出现、气候变化、大规模的人群流动（如5月劳动节旅游高峰）等影响。</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lastRenderedPageBreak/>
        <w:t>人群抗体水平下降后该如何应对？</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李侗曾介绍，即使抗体水平下降，但由于每个人不同步，有人可能抗体水平下降快，有人下降慢，保护作用持续时间长，因此下一轮或是有人先感染，有人后感染，疫情高峰不会来得这么快、这么猛，不会再发生短时间内大量感染的情况。</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李侗曾认为，免疫力低下、没有接种疫苗的人群可能会是下一轮疫情中较早的一批，而已经感染过的人，尤其是接种过疫苗的人，他们在接种疫苗基础上的感染叫突破性感染，这部分人即使二次感染，或者第三次感染，成为重症或危重病例的风险也会比较小。</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新冠病毒会消失吗？</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陆蒙吉向中新网表示，中国疾控中心最近公布的部分数据提示，新冠病毒目前没有消失，也不能把当前疫情感染情况的缓解当作结束。“这是一种错位的认知。”他说。</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李侗曾认为，目前来看，新冠病毒不太可能像2003年SARS那样完全消失。他解释称，全球新冠传染情况不同步，有的地方现在新发病例已经很少，有的地方持续存在，还有很多地方反复出现疫情高峰。社会面上还存在感染者，大家就都有再感染的风险。他判断，新冠病毒感染可能会像流感一样有阶段性，不会完全消失。</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总体上，今后需要重点防护的人群还是老年人，免疫力低下、基础疾病患者等脆弱人群。”李侗曾建议，一方面要坚持戴口罩、勤洗手、多开窗通风，保持社交距离。另一方面，可通过再次接种疫苗来提高防护水平。</w:t>
      </w:r>
    </w:p>
    <w:p w:rsidR="000C2BC9" w:rsidRDefault="000C2BC9" w:rsidP="000C2BC9">
      <w:pPr>
        <w:widowControl/>
        <w:adjustRightInd w:val="0"/>
        <w:snapToGrid w:val="0"/>
        <w:spacing w:line="360" w:lineRule="auto"/>
        <w:ind w:firstLine="420"/>
        <w:jc w:val="left"/>
        <w:rPr>
          <w:rFonts w:asciiTheme="minorEastAsia" w:hAnsiTheme="minorEastAsia" w:cs="Times New Roman"/>
          <w:color w:val="333333"/>
          <w:kern w:val="0"/>
          <w:szCs w:val="21"/>
        </w:rPr>
      </w:pPr>
      <w:r w:rsidRPr="000C2BC9">
        <w:rPr>
          <w:rFonts w:asciiTheme="minorEastAsia" w:hAnsiTheme="minorEastAsia" w:cs="宋体" w:hint="eastAsia"/>
          <w:color w:val="333333"/>
          <w:kern w:val="0"/>
          <w:szCs w:val="21"/>
        </w:rPr>
        <w:t>摘引网址：</w:t>
      </w:r>
      <w:r w:rsidRPr="000C2BC9">
        <w:rPr>
          <w:rFonts w:asciiTheme="minorEastAsia" w:hAnsiTheme="minorEastAsia" w:cs="Times New Roman"/>
          <w:color w:val="333333"/>
          <w:kern w:val="0"/>
          <w:szCs w:val="21"/>
        </w:rPr>
        <w:t>https://health.huanqiu.com/article/4BcEqgKAM3z</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p>
    <w:p w:rsidR="000C2BC9" w:rsidRPr="000C2BC9" w:rsidRDefault="000C2BC9" w:rsidP="000C2BC9">
      <w:pPr>
        <w:pStyle w:val="1"/>
        <w:adjustRightInd w:val="0"/>
        <w:snapToGrid w:val="0"/>
        <w:spacing w:before="0" w:after="0" w:line="360" w:lineRule="auto"/>
        <w:rPr>
          <w:rFonts w:asciiTheme="minorEastAsia" w:hAnsiTheme="minorEastAsia" w:cs="宋体"/>
          <w:color w:val="333333"/>
          <w:kern w:val="0"/>
          <w:sz w:val="24"/>
          <w:szCs w:val="24"/>
        </w:rPr>
      </w:pPr>
      <w:bookmarkStart w:id="5" w:name="_Toc127176102"/>
      <w:r w:rsidRPr="000C2BC9">
        <w:rPr>
          <w:rFonts w:asciiTheme="minorEastAsia" w:hAnsiTheme="minorEastAsia" w:cs="宋体" w:hint="eastAsia"/>
          <w:color w:val="333333"/>
          <w:kern w:val="0"/>
          <w:sz w:val="24"/>
          <w:szCs w:val="24"/>
        </w:rPr>
        <w:t>国家卫健委：组建紧密型县域医共体 患者实现双向转诊</w:t>
      </w:r>
      <w:bookmarkEnd w:id="5"/>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(2023-02-09    央视新闻客户端)</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全国800余县试点建设紧密型县域医共体</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据国家卫生健康委消息，我国正在800多个县（市、区）试点建设紧密型县域医共体，推动优质医疗资源下沉，促进分级诊疗制度形成。</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县域医共体是指以县级医院为龙头、乡镇卫生院为枢纽、村卫生室为基础，构建三级联动的县域医疗服务体系，形成服务共同体、责任共同体、利益共同体、管理共同体。医共体内医生上下流动、患者双向转诊。推进家庭医生签约服务，将县级医疗机构专科医生纳入家庭医生团队，重点服务老年人、孕产妇、残疾人以及高血压、糖尿病等慢性病患者。加强远程医疗和信息化建设，逐步实现基层检查、上级诊断。</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国家卫生健康委2019年在全国启动紧密型县域医共体建设试点以来，目前已有超过70%的试点县落实人员和药品统一管理、信息互联互通。90%以上的试点地区实现医共体内的检查检验结果互认。通过实行医保总额付费、结余留用激励机制，医共体将更多工作转向健康管理，试点地区慢性病患者基层管理率达到77%，参保居民住院率下降，医保报销比例提高。</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lastRenderedPageBreak/>
        <w:t>提高基层防病治病能力 方便百姓就医</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国家卫生健康委2019年在全国启动紧密型县域医共体建设试点以来，各地加快推进建设，提高基层防病治病和健康管理能力，方便百姓就医。</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浙江省东阳市由4家县级公立医院牵头，分别对18家社区卫生服务中心、104个卫生服务站进行托管，形成涵盖全市各级公立医疗机构的共同体。市级牵头医院的医生定期到基层出门诊、查房、带教，对基层医生进行规范化培训。前段时间，77岁的村民包春香突发心梗，被送到镇卫生院，经过急救团队近半个小时的抢救，病情稳定后，转到东阳市人民医院做了心脏搭桥手术。</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浙江省东阳市千祥镇中心卫生院副院长 吕新良：如果没有我们医疗团队的及时抢救，8分钟之外抢救希望是很小的。</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山东省金乡县人民医院联合14家乡镇、社区医疗机构组建医共体，为村卫生室配备心电采集设备，打造“心电一张网”和30分钟黄金救治圈。张庄社区居民张先生突发胸痛，村医赶到家里为他做了心电图，检查结果上传到县人民医院远程会诊中心，被诊断为急性心肌梗死，县医院立即派救护车将他接到医院，做了心脏支架植入手术，目前患者恢复良好。</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山东省金乡县人民医院党委书记、院长 代建军：提升了村医的心电诊断水平，可以提升对冠心病，特别是急性心肌梗死的早期诊断率。</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江西省萍乡市湘东区组建了以3个区级医院和11个乡镇卫生院为成员单位的总医院，建立了以区级医院为主体的治病平台和以乡镇卫生院为主体的防病平台。组建124个家庭医生团队为社区居民开展健康体检和随访服务。在本轮疫情防控救治中，充分发挥区、乡、村三级联动作用，实现了分级诊疗。</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江西省萍乡市湘东区卫健委副主任 李新：采取轻型患者在村卫生室、中型患者送乡镇卫生院、重型患者转区级医院的三级分诊治疗方式，全面筑牢了农村疫情防控屏障。</w:t>
      </w:r>
    </w:p>
    <w:p w:rsidR="000C2BC9" w:rsidRPr="000C2BC9" w:rsidRDefault="000C2BC9" w:rsidP="000C2BC9">
      <w:pPr>
        <w:widowControl/>
        <w:adjustRightInd w:val="0"/>
        <w:snapToGrid w:val="0"/>
        <w:spacing w:line="360" w:lineRule="auto"/>
        <w:ind w:firstLine="420"/>
        <w:jc w:val="left"/>
        <w:rPr>
          <w:rFonts w:asciiTheme="minorEastAsia" w:hAnsiTheme="minorEastAsia" w:cs="宋体"/>
          <w:color w:val="333333"/>
          <w:kern w:val="0"/>
          <w:szCs w:val="21"/>
        </w:rPr>
      </w:pPr>
      <w:r w:rsidRPr="000C2BC9">
        <w:rPr>
          <w:rFonts w:asciiTheme="minorEastAsia" w:hAnsiTheme="minorEastAsia" w:cs="宋体" w:hint="eastAsia"/>
          <w:color w:val="333333"/>
          <w:kern w:val="0"/>
          <w:szCs w:val="21"/>
        </w:rPr>
        <w:t>摘引网址：</w:t>
      </w:r>
      <w:r w:rsidRPr="000C2BC9">
        <w:rPr>
          <w:rFonts w:asciiTheme="minorEastAsia" w:hAnsiTheme="minorEastAsia" w:cs="Times New Roman"/>
          <w:color w:val="333333"/>
          <w:kern w:val="0"/>
          <w:szCs w:val="21"/>
        </w:rPr>
        <w:t>https://health.huanqiu.com/article/4Bd55ZXei4m</w:t>
      </w:r>
    </w:p>
    <w:p w:rsidR="00C51691" w:rsidRPr="000C2BC9" w:rsidRDefault="00C51691" w:rsidP="000C2BC9">
      <w:pPr>
        <w:pStyle w:val="1"/>
        <w:adjustRightInd w:val="0"/>
        <w:snapToGrid w:val="0"/>
        <w:spacing w:before="0" w:after="0" w:line="360" w:lineRule="auto"/>
        <w:rPr>
          <w:rFonts w:asciiTheme="minorEastAsia" w:hAnsiTheme="minorEastAsia"/>
          <w:color w:val="000000" w:themeColor="text1"/>
          <w:sz w:val="21"/>
          <w:szCs w:val="21"/>
        </w:rPr>
      </w:pPr>
    </w:p>
    <w:sectPr w:rsidR="00C51691" w:rsidRPr="000C2BC9"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AF8" w:rsidRDefault="00935AF8" w:rsidP="003C6FFE">
      <w:r>
        <w:separator/>
      </w:r>
    </w:p>
  </w:endnote>
  <w:endnote w:type="continuationSeparator" w:id="1">
    <w:p w:rsidR="00935AF8" w:rsidRDefault="00935AF8"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281983" w:rsidP="002F2290">
        <w:pPr>
          <w:pStyle w:val="a3"/>
          <w:jc w:val="center"/>
        </w:pPr>
        <w:r>
          <w:fldChar w:fldCharType="begin"/>
        </w:r>
        <w:r w:rsidR="00726786">
          <w:instrText xml:space="preserve"> PAGE   \* MERGEFORMAT </w:instrText>
        </w:r>
        <w:r>
          <w:fldChar w:fldCharType="separate"/>
        </w:r>
        <w:r w:rsidR="003E1EBB" w:rsidRPr="003E1EBB">
          <w:rPr>
            <w:noProof/>
            <w:lang w:val="zh-CN"/>
          </w:rPr>
          <w:t>1</w:t>
        </w:r>
        <w:r>
          <w:fldChar w:fldCharType="end"/>
        </w:r>
      </w:p>
    </w:sdtContent>
  </w:sdt>
  <w:p w:rsidR="002F2290" w:rsidRDefault="00935AF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AF8" w:rsidRDefault="00935AF8" w:rsidP="003C6FFE">
      <w:r>
        <w:separator/>
      </w:r>
    </w:p>
  </w:footnote>
  <w:footnote w:type="continuationSeparator" w:id="1">
    <w:p w:rsidR="00935AF8" w:rsidRDefault="00935AF8"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C2BC9"/>
    <w:rsid w:val="0015344F"/>
    <w:rsid w:val="001A11A0"/>
    <w:rsid w:val="001B3B90"/>
    <w:rsid w:val="002270A5"/>
    <w:rsid w:val="00251D95"/>
    <w:rsid w:val="002578F8"/>
    <w:rsid w:val="00281983"/>
    <w:rsid w:val="002E5E98"/>
    <w:rsid w:val="003A2C3D"/>
    <w:rsid w:val="003A3475"/>
    <w:rsid w:val="003C6FFE"/>
    <w:rsid w:val="003E1EBB"/>
    <w:rsid w:val="0043442B"/>
    <w:rsid w:val="0049345A"/>
    <w:rsid w:val="004B7CC3"/>
    <w:rsid w:val="005F0E31"/>
    <w:rsid w:val="005F641C"/>
    <w:rsid w:val="006B7438"/>
    <w:rsid w:val="006B7D3C"/>
    <w:rsid w:val="00726786"/>
    <w:rsid w:val="007C5DFF"/>
    <w:rsid w:val="00815E71"/>
    <w:rsid w:val="008F6471"/>
    <w:rsid w:val="00935AF8"/>
    <w:rsid w:val="00935F62"/>
    <w:rsid w:val="009D3FE9"/>
    <w:rsid w:val="00A37B02"/>
    <w:rsid w:val="00B9703D"/>
    <w:rsid w:val="00BD3F55"/>
    <w:rsid w:val="00BF5C4B"/>
    <w:rsid w:val="00C51691"/>
    <w:rsid w:val="00CF1BF4"/>
    <w:rsid w:val="00D5385B"/>
    <w:rsid w:val="00D641D2"/>
    <w:rsid w:val="00DA03DE"/>
    <w:rsid w:val="00E1158F"/>
    <w:rsid w:val="00ED6611"/>
    <w:rsid w:val="00EF6B08"/>
    <w:rsid w:val="00FE1C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semiHidden/>
    <w:unhideWhenUsed/>
    <w:rsid w:val="000C2BC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A6D98-232C-4821-99A8-DB75D47D9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750</Words>
  <Characters>4280</Characters>
  <Application>Microsoft Office Word</Application>
  <DocSecurity>0</DocSecurity>
  <Lines>35</Lines>
  <Paragraphs>10</Paragraphs>
  <ScaleCrop>false</ScaleCrop>
  <Company>Microsoft</Company>
  <LinksUpToDate>false</LinksUpToDate>
  <CharactersWithSpaces>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8</cp:revision>
  <cp:lastPrinted>2023-02-13T02:24:00Z</cp:lastPrinted>
  <dcterms:created xsi:type="dcterms:W3CDTF">2023-02-13T06:03:00Z</dcterms:created>
  <dcterms:modified xsi:type="dcterms:W3CDTF">2023-02-13T02:25:00Z</dcterms:modified>
</cp:coreProperties>
</file>