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C97D29" w:rsidP="00726786">
      <w:pPr>
        <w:adjustRightInd w:val="0"/>
        <w:snapToGrid w:val="0"/>
        <w:spacing w:line="360" w:lineRule="auto"/>
        <w:jc w:val="left"/>
        <w:rPr>
          <w:rFonts w:asciiTheme="minorEastAsia" w:hAnsiTheme="minorEastAsia"/>
          <w:color w:val="000000" w:themeColor="text1"/>
          <w:sz w:val="24"/>
          <w:szCs w:val="24"/>
        </w:rPr>
      </w:pPr>
      <w:r w:rsidRPr="00C97D29">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C56048" w:rsidRPr="00C56048">
        <w:rPr>
          <w:rFonts w:asciiTheme="minorEastAsia" w:hAnsiTheme="minorEastAsia" w:hint="eastAsia"/>
          <w:color w:val="000000" w:themeColor="text1"/>
          <w:sz w:val="24"/>
          <w:szCs w:val="24"/>
        </w:rPr>
        <w:t>7</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5F641C" w:rsidRPr="00C56048">
        <w:rPr>
          <w:rFonts w:asciiTheme="minorEastAsia" w:hAnsiTheme="minorEastAsia" w:hint="eastAsia"/>
          <w:color w:val="000000" w:themeColor="text1"/>
          <w:sz w:val="24"/>
          <w:szCs w:val="24"/>
        </w:rPr>
        <w:t>2</w:t>
      </w:r>
      <w:r w:rsidR="00726786" w:rsidRPr="00C56048">
        <w:rPr>
          <w:rFonts w:asciiTheme="minorEastAsia" w:hAnsiTheme="minorEastAsia" w:hint="eastAsia"/>
          <w:color w:val="000000" w:themeColor="text1"/>
          <w:sz w:val="24"/>
          <w:szCs w:val="24"/>
        </w:rPr>
        <w:t>月</w:t>
      </w:r>
      <w:r w:rsidR="00100759" w:rsidRPr="00C56048">
        <w:rPr>
          <w:rFonts w:asciiTheme="minorEastAsia" w:hAnsiTheme="minorEastAsia" w:hint="eastAsia"/>
          <w:color w:val="000000" w:themeColor="text1"/>
          <w:sz w:val="24"/>
          <w:szCs w:val="24"/>
        </w:rPr>
        <w:t>20</w:t>
      </w:r>
      <w:r w:rsidR="00726786" w:rsidRPr="00C56048">
        <w:rPr>
          <w:rFonts w:asciiTheme="minorEastAsia" w:hAnsiTheme="minorEastAsia" w:hint="eastAsia"/>
          <w:color w:val="000000" w:themeColor="text1"/>
          <w:sz w:val="24"/>
          <w:szCs w:val="24"/>
        </w:rPr>
        <w:t>日-</w:t>
      </w:r>
      <w:r w:rsidR="00A37B02" w:rsidRPr="00C56048">
        <w:rPr>
          <w:rFonts w:asciiTheme="minorEastAsia" w:hAnsiTheme="minorEastAsia" w:hint="eastAsia"/>
          <w:color w:val="000000" w:themeColor="text1"/>
          <w:sz w:val="24"/>
          <w:szCs w:val="24"/>
        </w:rPr>
        <w:t>2</w:t>
      </w:r>
      <w:r w:rsidR="00726786" w:rsidRPr="00C56048">
        <w:rPr>
          <w:rFonts w:asciiTheme="minorEastAsia" w:hAnsiTheme="minorEastAsia" w:hint="eastAsia"/>
          <w:color w:val="000000" w:themeColor="text1"/>
          <w:sz w:val="24"/>
          <w:szCs w:val="24"/>
        </w:rPr>
        <w:t>月</w:t>
      </w:r>
      <w:r w:rsidR="00100759" w:rsidRPr="00C56048">
        <w:rPr>
          <w:rFonts w:asciiTheme="minorEastAsia" w:hAnsiTheme="minorEastAsia" w:hint="eastAsia"/>
          <w:color w:val="000000" w:themeColor="text1"/>
          <w:sz w:val="24"/>
          <w:szCs w:val="24"/>
        </w:rPr>
        <w:t>26</w:t>
      </w:r>
      <w:r w:rsidR="00726786" w:rsidRPr="00C56048">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60638A" w:rsidRDefault="00C97D29">
      <w:pPr>
        <w:pStyle w:val="10"/>
        <w:rPr>
          <w:b w:val="0"/>
          <w:noProof/>
          <w:sz w:val="21"/>
          <w:szCs w:val="22"/>
          <w:shd w:val="clear" w:color="auto" w:fill="auto"/>
        </w:rPr>
      </w:pPr>
      <w:r w:rsidRPr="00C97D29">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C97D29">
        <w:rPr>
          <w:rFonts w:ascii="黑体" w:eastAsia="黑体"/>
          <w:color w:val="000000" w:themeColor="text1"/>
          <w:sz w:val="28"/>
          <w:szCs w:val="28"/>
        </w:rPr>
        <w:fldChar w:fldCharType="separate"/>
      </w:r>
      <w:hyperlink w:anchor="_Toc128467917" w:history="1">
        <w:r w:rsidR="0060638A" w:rsidRPr="00FA4D10">
          <w:rPr>
            <w:rStyle w:val="a4"/>
            <w:rFonts w:asciiTheme="minorEastAsia" w:hAnsiTheme="minorEastAsia" w:hint="eastAsia"/>
            <w:bCs/>
            <w:noProof/>
          </w:rPr>
          <w:t>全国新型冠状病毒感染疫情情况</w:t>
        </w:r>
        <w:r w:rsidR="0060638A">
          <w:rPr>
            <w:noProof/>
            <w:webHidden/>
          </w:rPr>
          <w:tab/>
        </w:r>
        <w:r>
          <w:rPr>
            <w:noProof/>
            <w:webHidden/>
          </w:rPr>
          <w:fldChar w:fldCharType="begin"/>
        </w:r>
        <w:r w:rsidR="0060638A">
          <w:rPr>
            <w:noProof/>
            <w:webHidden/>
          </w:rPr>
          <w:instrText xml:space="preserve"> PAGEREF _Toc128467917 \h </w:instrText>
        </w:r>
        <w:r>
          <w:rPr>
            <w:noProof/>
            <w:webHidden/>
          </w:rPr>
        </w:r>
        <w:r>
          <w:rPr>
            <w:noProof/>
            <w:webHidden/>
          </w:rPr>
          <w:fldChar w:fldCharType="separate"/>
        </w:r>
        <w:r w:rsidR="00596768">
          <w:rPr>
            <w:noProof/>
            <w:webHidden/>
          </w:rPr>
          <w:t>1</w:t>
        </w:r>
        <w:r>
          <w:rPr>
            <w:noProof/>
            <w:webHidden/>
          </w:rPr>
          <w:fldChar w:fldCharType="end"/>
        </w:r>
      </w:hyperlink>
    </w:p>
    <w:p w:rsidR="0060638A" w:rsidRDefault="00C97D29">
      <w:pPr>
        <w:pStyle w:val="10"/>
        <w:rPr>
          <w:b w:val="0"/>
          <w:noProof/>
          <w:sz w:val="21"/>
          <w:szCs w:val="22"/>
          <w:shd w:val="clear" w:color="auto" w:fill="auto"/>
        </w:rPr>
      </w:pPr>
      <w:hyperlink w:anchor="_Toc128467918" w:history="1">
        <w:r w:rsidR="0060638A" w:rsidRPr="00FA4D10">
          <w:rPr>
            <w:rStyle w:val="a4"/>
            <w:rFonts w:asciiTheme="minorEastAsia" w:hAnsiTheme="minorEastAsia" w:hint="eastAsia"/>
            <w:bCs/>
            <w:noProof/>
          </w:rPr>
          <w:t>新冠病毒致病力是怎么变化的？专家解答</w:t>
        </w:r>
        <w:r w:rsidR="0060638A">
          <w:rPr>
            <w:noProof/>
            <w:webHidden/>
          </w:rPr>
          <w:tab/>
        </w:r>
        <w:r>
          <w:rPr>
            <w:noProof/>
            <w:webHidden/>
          </w:rPr>
          <w:fldChar w:fldCharType="begin"/>
        </w:r>
        <w:r w:rsidR="0060638A">
          <w:rPr>
            <w:noProof/>
            <w:webHidden/>
          </w:rPr>
          <w:instrText xml:space="preserve"> PAGEREF _Toc128467918 \h </w:instrText>
        </w:r>
        <w:r>
          <w:rPr>
            <w:noProof/>
            <w:webHidden/>
          </w:rPr>
        </w:r>
        <w:r>
          <w:rPr>
            <w:noProof/>
            <w:webHidden/>
          </w:rPr>
          <w:fldChar w:fldCharType="separate"/>
        </w:r>
        <w:r w:rsidR="00596768">
          <w:rPr>
            <w:noProof/>
            <w:webHidden/>
          </w:rPr>
          <w:t>3</w:t>
        </w:r>
        <w:r>
          <w:rPr>
            <w:noProof/>
            <w:webHidden/>
          </w:rPr>
          <w:fldChar w:fldCharType="end"/>
        </w:r>
      </w:hyperlink>
    </w:p>
    <w:p w:rsidR="0060638A" w:rsidRDefault="00C97D29">
      <w:pPr>
        <w:pStyle w:val="10"/>
        <w:rPr>
          <w:b w:val="0"/>
          <w:noProof/>
          <w:sz w:val="21"/>
          <w:szCs w:val="22"/>
          <w:shd w:val="clear" w:color="auto" w:fill="auto"/>
        </w:rPr>
      </w:pPr>
      <w:hyperlink w:anchor="_Toc128467919" w:history="1">
        <w:r w:rsidR="0060638A" w:rsidRPr="00FA4D10">
          <w:rPr>
            <w:rStyle w:val="a4"/>
            <w:rFonts w:asciiTheme="minorEastAsia" w:hAnsiTheme="minorEastAsia" w:hint="eastAsia"/>
            <w:bCs/>
            <w:noProof/>
          </w:rPr>
          <w:t>甲流和诺如病毒感染如何预防（服务窗·科学防疫）</w:t>
        </w:r>
        <w:r w:rsidR="0060638A">
          <w:rPr>
            <w:noProof/>
            <w:webHidden/>
          </w:rPr>
          <w:tab/>
        </w:r>
        <w:r>
          <w:rPr>
            <w:noProof/>
            <w:webHidden/>
          </w:rPr>
          <w:fldChar w:fldCharType="begin"/>
        </w:r>
        <w:r w:rsidR="0060638A">
          <w:rPr>
            <w:noProof/>
            <w:webHidden/>
          </w:rPr>
          <w:instrText xml:space="preserve"> PAGEREF _Toc128467919 \h </w:instrText>
        </w:r>
        <w:r>
          <w:rPr>
            <w:noProof/>
            <w:webHidden/>
          </w:rPr>
        </w:r>
        <w:r>
          <w:rPr>
            <w:noProof/>
            <w:webHidden/>
          </w:rPr>
          <w:fldChar w:fldCharType="separate"/>
        </w:r>
        <w:r w:rsidR="00596768">
          <w:rPr>
            <w:noProof/>
            <w:webHidden/>
          </w:rPr>
          <w:t>4</w:t>
        </w:r>
        <w:r>
          <w:rPr>
            <w:noProof/>
            <w:webHidden/>
          </w:rPr>
          <w:fldChar w:fldCharType="end"/>
        </w:r>
      </w:hyperlink>
    </w:p>
    <w:p w:rsidR="0060638A" w:rsidRDefault="00C97D29">
      <w:pPr>
        <w:pStyle w:val="10"/>
        <w:rPr>
          <w:b w:val="0"/>
          <w:noProof/>
          <w:sz w:val="21"/>
          <w:szCs w:val="22"/>
          <w:shd w:val="clear" w:color="auto" w:fill="auto"/>
        </w:rPr>
      </w:pPr>
      <w:hyperlink w:anchor="_Toc128467920" w:history="1">
        <w:r w:rsidR="0060638A" w:rsidRPr="00FA4D10">
          <w:rPr>
            <w:rStyle w:val="a4"/>
            <w:rFonts w:asciiTheme="minorEastAsia" w:hAnsiTheme="minorEastAsia" w:hint="eastAsia"/>
            <w:bCs/>
            <w:noProof/>
          </w:rPr>
          <w:t>甲流进入高发期，症状与新冠有哪些区别？</w:t>
        </w:r>
        <w:r w:rsidR="0060638A">
          <w:rPr>
            <w:noProof/>
            <w:webHidden/>
          </w:rPr>
          <w:tab/>
        </w:r>
        <w:r>
          <w:rPr>
            <w:noProof/>
            <w:webHidden/>
          </w:rPr>
          <w:fldChar w:fldCharType="begin"/>
        </w:r>
        <w:r w:rsidR="0060638A">
          <w:rPr>
            <w:noProof/>
            <w:webHidden/>
          </w:rPr>
          <w:instrText xml:space="preserve"> PAGEREF _Toc128467920 \h </w:instrText>
        </w:r>
        <w:r>
          <w:rPr>
            <w:noProof/>
            <w:webHidden/>
          </w:rPr>
        </w:r>
        <w:r>
          <w:rPr>
            <w:noProof/>
            <w:webHidden/>
          </w:rPr>
          <w:fldChar w:fldCharType="separate"/>
        </w:r>
        <w:r w:rsidR="00596768">
          <w:rPr>
            <w:noProof/>
            <w:webHidden/>
          </w:rPr>
          <w:t>6</w:t>
        </w:r>
        <w:r>
          <w:rPr>
            <w:noProof/>
            <w:webHidden/>
          </w:rPr>
          <w:fldChar w:fldCharType="end"/>
        </w:r>
      </w:hyperlink>
    </w:p>
    <w:p w:rsidR="00100759" w:rsidRDefault="00C97D29" w:rsidP="009573A7">
      <w:pPr>
        <w:pStyle w:val="a7"/>
        <w:adjustRightInd w:val="0"/>
        <w:snapToGrid w:val="0"/>
        <w:spacing w:before="0" w:beforeAutospacing="0" w:after="0" w:afterAutospacing="0" w:line="360" w:lineRule="auto"/>
        <w:jc w:val="center"/>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p>
    <w:p w:rsidR="009573A7" w:rsidRPr="009573A7" w:rsidRDefault="009573A7" w:rsidP="009573A7">
      <w:pPr>
        <w:pStyle w:val="a7"/>
        <w:adjustRightInd w:val="0"/>
        <w:snapToGrid w:val="0"/>
        <w:spacing w:before="0" w:beforeAutospacing="0" w:after="0" w:afterAutospacing="0" w:line="360" w:lineRule="auto"/>
        <w:outlineLvl w:val="0"/>
        <w:rPr>
          <w:rFonts w:asciiTheme="minorEastAsia" w:eastAsiaTheme="minorEastAsia" w:hAnsiTheme="minorEastAsia"/>
          <w:color w:val="333333"/>
          <w:sz w:val="21"/>
          <w:szCs w:val="21"/>
        </w:rPr>
      </w:pPr>
      <w:bookmarkStart w:id="2" w:name="_Toc128467917"/>
      <w:r w:rsidRPr="009573A7">
        <w:rPr>
          <w:rFonts w:asciiTheme="minorEastAsia" w:eastAsiaTheme="minorEastAsia" w:hAnsiTheme="minorEastAsia" w:hint="eastAsia"/>
          <w:b/>
          <w:bCs/>
          <w:color w:val="333333"/>
          <w:sz w:val="21"/>
          <w:szCs w:val="21"/>
        </w:rPr>
        <w:t>全国新型冠状病毒感染疫情情况</w:t>
      </w:r>
      <w:bookmarkEnd w:id="2"/>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(2023-02-25    中国疾病预防控制中心)</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  一、感染监测数据</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（一）全国报告人群新冠病毒核酸检测结果。</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r w:rsidRPr="009573A7">
        <w:rPr>
          <w:rFonts w:asciiTheme="minorEastAsia" w:eastAsiaTheme="minorEastAsia" w:hAnsiTheme="minorEastAsia" w:hint="eastAsia"/>
          <w:color w:val="333333"/>
          <w:sz w:val="21"/>
          <w:szCs w:val="21"/>
        </w:rPr>
        <w:t>2022年12月9日以来，各省份报告人群新冠病毒核酸检测阳性数及阳性率呈现先增加后降低趋势，阳性人数12月22日达到高峰（694万）后波动下降，2月23日降至12738；检测阳性率12月25日达高峰（29.2%）后波动下降，2月23日为1.4%（图1-1）。</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（二）全国报告人群新冠病毒抗原检测结果。各省份报告新冠病毒抗原检测量呈现波动减少趋势，从</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r w:rsidRPr="009573A7">
        <w:rPr>
          <w:rFonts w:asciiTheme="minorEastAsia" w:eastAsiaTheme="minorEastAsia" w:hAnsiTheme="minorEastAsia" w:hint="eastAsia"/>
          <w:color w:val="333333"/>
          <w:sz w:val="21"/>
          <w:szCs w:val="21"/>
        </w:rPr>
        <w:t>2022年12月19日的最高189万波动下降到2月23日的6.8万。新冠病毒抗原检测阳性数及阳性率自2022年12月9日快速上升，12月22日达高峰（33.7万、21.3%）后波动下降，2月23日阳性数降至337（阳性率为0.5%）（图1-2）。</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二、全国发热门诊（诊室）诊疗情况</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（一）总体就诊人数结果。全国（不含港澳台）发热门诊（诊室）就诊人数于</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r w:rsidRPr="009573A7">
        <w:rPr>
          <w:rFonts w:asciiTheme="minorEastAsia" w:eastAsiaTheme="minorEastAsia" w:hAnsiTheme="minorEastAsia" w:hint="eastAsia"/>
          <w:color w:val="333333"/>
          <w:sz w:val="21"/>
          <w:szCs w:val="21"/>
        </w:rPr>
        <w:t>2022年12月23日达到峰值286.7万人次，随后连续下降；2023年1月23日后就诊人数呈现低位波动，2月23日为14.7万人次,较峰值下降了94.9%（图2-1）。</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（二）农村发热门诊（诊室）就诊人数结果。全国乡镇卫生院发热诊室就诊人数于</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r w:rsidRPr="009573A7">
        <w:rPr>
          <w:rFonts w:asciiTheme="minorEastAsia" w:eastAsiaTheme="minorEastAsia" w:hAnsiTheme="minorEastAsia" w:hint="eastAsia"/>
          <w:color w:val="333333"/>
          <w:sz w:val="21"/>
          <w:szCs w:val="21"/>
        </w:rPr>
        <w:t>2022年12月23日达到峰值92.2万人次，随后波动下降；2023年1月23日后呈现低位波动，2023年2月23日为3.3万人次，较峰值下降了96.4%（图2-2）。</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（三）城市发热门诊就诊人数结果。全国二级以上医疗机构和城市社区卫生服务中心发热门诊（诊室）就诊人数于</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r w:rsidRPr="009573A7">
        <w:rPr>
          <w:rFonts w:asciiTheme="minorEastAsia" w:eastAsiaTheme="minorEastAsia" w:hAnsiTheme="minorEastAsia" w:hint="eastAsia"/>
          <w:color w:val="333333"/>
          <w:sz w:val="21"/>
          <w:szCs w:val="21"/>
        </w:rPr>
        <w:t>2022年12月22日达到峰值195.4万人次，随后连续下降；1月23日后呈低位波动，2月23日为11.5万人次，较峰值下降了94.1%（图2-3）。</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（四）哨点医院监测结果。</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r w:rsidRPr="009573A7">
        <w:rPr>
          <w:rFonts w:asciiTheme="minorEastAsia" w:eastAsiaTheme="minorEastAsia" w:hAnsiTheme="minorEastAsia" w:hint="eastAsia"/>
          <w:color w:val="333333"/>
          <w:sz w:val="21"/>
          <w:szCs w:val="21"/>
        </w:rPr>
        <w:t>2022年9月-12月上旬，全国流感哨点医院每周流感样病例（体温≥38℃，伴咳嗽或咽痛之一）数量稳定在10万左右，流感样病例占门（急）诊就诊人数比值在</w:t>
      </w:r>
      <w:r w:rsidRPr="009573A7">
        <w:rPr>
          <w:rFonts w:asciiTheme="minorEastAsia" w:eastAsiaTheme="minorEastAsia" w:hAnsiTheme="minorEastAsia" w:hint="eastAsia"/>
          <w:color w:val="333333"/>
          <w:sz w:val="21"/>
          <w:szCs w:val="21"/>
        </w:rPr>
        <w:lastRenderedPageBreak/>
        <w:t>2.7%-3.6%区间波动。第50周（12月12日-18日）明显上升至8.5%，第51周达到最高12.1%，第52周起快速下降。2023年第7周（2月13日-19日）流感样病例占比为1.8%（图2-4）。</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（数据来源于</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r w:rsidRPr="009573A7">
        <w:rPr>
          <w:rFonts w:asciiTheme="minorEastAsia" w:eastAsiaTheme="minorEastAsia" w:hAnsiTheme="minorEastAsia" w:hint="eastAsia"/>
          <w:color w:val="333333"/>
          <w:sz w:val="21"/>
          <w:szCs w:val="21"/>
        </w:rPr>
        <w:t>824家哨点医院）</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r w:rsidRPr="009573A7">
        <w:rPr>
          <w:rFonts w:asciiTheme="minorEastAsia" w:eastAsiaTheme="minorEastAsia" w:hAnsiTheme="minorEastAsia" w:hint="eastAsia"/>
          <w:color w:val="333333"/>
          <w:sz w:val="21"/>
          <w:szCs w:val="21"/>
        </w:rPr>
        <w:t>2022年第49周（12月9日），流感样病例新冠病毒阳性率开始逐渐增加，在第51和52周期间达峰值后持续下降，2023年第7周（2月13-19日）新冠病毒阳性率已下降至3.4%。2022年第49周以来，流感病毒阳性率则逐步降低，12月下旬至2月初处于极低水平（低于1.0%）；2023年第7周，流感病毒阳性率增加至14.3%（图2-5）。</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三、住院诊疗情况</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（一）在院新冠病毒感染者结果。全国在院新冠病毒感染者于</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r w:rsidRPr="009573A7">
        <w:rPr>
          <w:rFonts w:asciiTheme="minorEastAsia" w:eastAsiaTheme="minorEastAsia" w:hAnsiTheme="minorEastAsia" w:hint="eastAsia"/>
          <w:color w:val="333333"/>
          <w:sz w:val="21"/>
          <w:szCs w:val="21"/>
        </w:rPr>
        <w:t>2023年1月5日达到峰值162.5万人，随后持续下降；2月23日下降至1.45万人，较峰值减少了99.1%（图3-1）。</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（二）在院新冠病毒感染阳性重症患者结果。全国在院新冠病毒感染者中，重症患者数量于</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r w:rsidRPr="009573A7">
        <w:rPr>
          <w:rFonts w:asciiTheme="minorEastAsia" w:eastAsiaTheme="minorEastAsia" w:hAnsiTheme="minorEastAsia" w:hint="eastAsia"/>
          <w:color w:val="333333"/>
          <w:sz w:val="21"/>
          <w:szCs w:val="21"/>
        </w:rPr>
        <w:t>2022年12月27日至2023年1月3日期间每日增量近1万，1月4日增量明显下降，1月5日达到峰值12.8万后持续下降，2月23日下降至8例（其中新冠病毒感染重症0例、基础性疾病重症合并新冠病毒感染8例），较峰值下降了99.9%（图3-2）。</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（三）在院新冠病毒感染死亡情况。在院新冠病毒感染死亡病例数于</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r w:rsidRPr="009573A7">
        <w:rPr>
          <w:rFonts w:asciiTheme="minorEastAsia" w:eastAsiaTheme="minorEastAsia" w:hAnsiTheme="minorEastAsia" w:hint="eastAsia"/>
          <w:color w:val="333333"/>
          <w:sz w:val="21"/>
          <w:szCs w:val="21"/>
        </w:rPr>
        <w:t>1月4日达到每日峰值4273例，随后持续下降，2月23日下降至0例（图3-3）。2月17日至2月23日，31个省（自治区、直辖市）及新疆生产建设兵团医疗机构累计在院新冠病毒感染相关死亡病例7例，其中新冠病毒感染导致呼吸衰竭死亡0例、基础疾病合并新冠病毒感染死亡7例。</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四、新冠病毒感染本土病例病毒变异监测情况</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（一）总体情况。</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r w:rsidRPr="009573A7">
        <w:rPr>
          <w:rFonts w:asciiTheme="minorEastAsia" w:eastAsiaTheme="minorEastAsia" w:hAnsiTheme="minorEastAsia" w:hint="eastAsia"/>
          <w:color w:val="333333"/>
          <w:sz w:val="21"/>
          <w:szCs w:val="21"/>
        </w:rPr>
        <w:t>2022年9月26日至2023年2月23日，全国共报送27315例本土病例新冠病毒基因组有效序列，均为奥密克戎变异株，共存在80个进化分支，主要流行株为BA.5.2.48（53.9%）、BF.7.14（25.2%）和BA.5.2.49（13.4%）。BA.5.2等18种进化分支构成比在0.1%-2.4%之间，59个进化分支的构成比小于0.1%（共占0.7%）（图4-1）。</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（二）</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r w:rsidRPr="009573A7">
        <w:rPr>
          <w:rFonts w:asciiTheme="minorEastAsia" w:eastAsiaTheme="minorEastAsia" w:hAnsiTheme="minorEastAsia" w:hint="eastAsia"/>
          <w:color w:val="333333"/>
          <w:sz w:val="21"/>
          <w:szCs w:val="21"/>
        </w:rPr>
        <w:t>12月以来本土病例病毒变异株监测情况。2022年12月1日至2023年2月23日，全国共报送18618例本土病例新冠病毒基因组有效序列，全部为奥密克戎变异株，共存在36个进化分支。主要流行株为BA.5.2.48（60.5%）和BF.7.14（28.9%）（表4-1）。共发现本土重点关注变异株22例，其中，1例XBB.1，5例XBB.1.5，4例BQ.1，5例BQ.1.1，1例BQ.1.1.17，4例BQ.1.2和2例BQ.1.8。</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（三）新冠病毒变异分省份情况。总体来看，北京、内蒙古和天津以</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r w:rsidRPr="009573A7">
        <w:rPr>
          <w:rFonts w:asciiTheme="minorEastAsia" w:eastAsiaTheme="minorEastAsia" w:hAnsiTheme="minorEastAsia" w:hint="eastAsia"/>
          <w:color w:val="333333"/>
          <w:sz w:val="21"/>
          <w:szCs w:val="21"/>
        </w:rPr>
        <w:t>BF.7及亚分支为优势株；其他省份均以BA.5.2及亚分支为优势株（图4-2）。</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五、新冠病毒疫苗接种进展</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截至</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r w:rsidRPr="009573A7">
        <w:rPr>
          <w:rFonts w:asciiTheme="minorEastAsia" w:eastAsiaTheme="minorEastAsia" w:hAnsiTheme="minorEastAsia" w:hint="eastAsia"/>
          <w:color w:val="333333"/>
          <w:sz w:val="21"/>
          <w:szCs w:val="21"/>
        </w:rPr>
        <w:t>2023年2月23日，31个省（自治区、直辖市）和新疆生产建设兵团累计完成接种新冠病毒疫苗349232.9万剂次（图5-1）。接种总人数131040.6万人，完成全程接种127692.0万人，完成第一剂次加强免疫接种82732.2万人。全人群第一剂次、全程接种覆盖比例分别达到93.0%</w:t>
      </w:r>
      <w:r w:rsidRPr="009573A7">
        <w:rPr>
          <w:rFonts w:asciiTheme="minorEastAsia" w:eastAsiaTheme="minorEastAsia" w:hAnsiTheme="minorEastAsia" w:hint="eastAsia"/>
          <w:color w:val="333333"/>
          <w:sz w:val="21"/>
          <w:szCs w:val="21"/>
        </w:rPr>
        <w:lastRenderedPageBreak/>
        <w:t>和90.6%（图5-2）。60岁以上老年人累计报告接种新冠病毒疫苗67983.5万剂次，接种总人数24168.8万人，完成全程接种23030.9万人，完成第一剂次加强免疫接种19283.2万人。</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以</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r w:rsidRPr="009573A7">
        <w:rPr>
          <w:rFonts w:asciiTheme="minorEastAsia" w:eastAsiaTheme="minorEastAsia" w:hAnsiTheme="minorEastAsia" w:hint="eastAsia"/>
          <w:color w:val="333333"/>
          <w:sz w:val="21"/>
          <w:szCs w:val="21"/>
        </w:rPr>
        <w:t>2022年底全国老年人专项摸底调查人口数为基数统计，截至2023年2月23日，60岁以上老年人第一剂次接种覆盖人数占老年人群的96.1%，全程接种、第一剂次加强免疫接种人数分别占符合接种时间间隔老年人群的96.6%、92.4%（图5-3）。</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注：</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r w:rsidRPr="009573A7">
        <w:rPr>
          <w:rFonts w:asciiTheme="minorEastAsia" w:eastAsiaTheme="minorEastAsia" w:hAnsiTheme="minorEastAsia" w:hint="eastAsia"/>
          <w:color w:val="333333"/>
          <w:sz w:val="21"/>
          <w:szCs w:val="21"/>
        </w:rPr>
        <w:t>1.第一剂次接种率测算中分子为接种目前附条件上市或紧急使用新冠病毒疫苗至少1剂次的老年人群，分母为2022年12月10日各省上报的老年人摸底登记人口数。2.全程接种率测算中分子为接种灭活疫苗2剂次、腺病毒载体疫苗1剂次、重组蛋白疫苗3剂次的老年人群，分母为接种灭活疫苗1剂次、腺病毒载体疫苗1剂次和重组蛋白疫苗2剂次的老年人群，并且接种后间隔满28天（4周）。3.第一剂次加强免疫接种率测算分子为完成第一剂次加强免疫接种老年人群，分母为接种灭活疫苗2剂次、腺病毒载体疫苗1剂次的老年人群，且全程接种后间隔满3个月。（由于重组蛋白疫苗实施加强免疫接种的时间短，接种3剂次重组蛋白疫苗人群目前未包括在分母中）。</w:t>
      </w:r>
    </w:p>
    <w:p w:rsidR="009573A7" w:rsidRPr="009573A7" w:rsidRDefault="009573A7" w:rsidP="009573A7">
      <w:pPr>
        <w:pStyle w:val="a7"/>
        <w:adjustRightInd w:val="0"/>
        <w:snapToGrid w:val="0"/>
        <w:spacing w:before="0" w:beforeAutospacing="0" w:after="0" w:afterAutospacing="0" w:line="360" w:lineRule="auto"/>
        <w:ind w:firstLine="39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摘引网址：</w:t>
      </w:r>
      <w:hyperlink r:id="rId7" w:history="1">
        <w:r w:rsidRPr="009573A7">
          <w:rPr>
            <w:rStyle w:val="a4"/>
            <w:rFonts w:asciiTheme="minorEastAsia" w:eastAsiaTheme="minorEastAsia" w:hAnsiTheme="minorEastAsia" w:hint="eastAsia"/>
            <w:color w:val="777777"/>
            <w:sz w:val="21"/>
            <w:szCs w:val="21"/>
          </w:rPr>
          <w:t>https://www.chinacdc.cn/jkzt/crb/zl/szkb_11803/jszl_13141/202302/t20230225</w:t>
        </w:r>
      </w:hyperlink>
    </w:p>
    <w:p w:rsidR="009573A7" w:rsidRPr="009573A7" w:rsidRDefault="009573A7" w:rsidP="009573A7">
      <w:pPr>
        <w:pStyle w:val="a7"/>
        <w:adjustRightInd w:val="0"/>
        <w:snapToGrid w:val="0"/>
        <w:spacing w:before="0" w:beforeAutospacing="0" w:after="0" w:afterAutospacing="0" w:line="360" w:lineRule="auto"/>
        <w:jc w:val="center"/>
        <w:outlineLvl w:val="0"/>
        <w:rPr>
          <w:rFonts w:asciiTheme="minorEastAsia" w:eastAsiaTheme="minorEastAsia" w:hAnsiTheme="minorEastAsia" w:cs="Times New Roman"/>
          <w:color w:val="333333"/>
          <w:sz w:val="21"/>
          <w:szCs w:val="21"/>
        </w:rPr>
      </w:pPr>
    </w:p>
    <w:p w:rsidR="00100759" w:rsidRPr="009573A7" w:rsidRDefault="00D641D2" w:rsidP="009573A7">
      <w:pPr>
        <w:pStyle w:val="a7"/>
        <w:adjustRightInd w:val="0"/>
        <w:snapToGrid w:val="0"/>
        <w:spacing w:before="0" w:beforeAutospacing="0" w:after="0" w:afterAutospacing="0" w:line="360" w:lineRule="auto"/>
        <w:outlineLvl w:val="0"/>
        <w:rPr>
          <w:rFonts w:asciiTheme="minorEastAsia" w:eastAsiaTheme="minorEastAsia" w:hAnsiTheme="minorEastAsia"/>
          <w:color w:val="333333"/>
          <w:sz w:val="21"/>
          <w:szCs w:val="21"/>
        </w:rPr>
      </w:pPr>
      <w:r w:rsidRPr="009573A7">
        <w:rPr>
          <w:rFonts w:asciiTheme="minorEastAsia" w:eastAsiaTheme="minorEastAsia" w:hAnsiTheme="minorEastAsia" w:cs="Times New Roman"/>
          <w:color w:val="333333"/>
          <w:sz w:val="21"/>
          <w:szCs w:val="21"/>
        </w:rPr>
        <w:t xml:space="preserve"> </w:t>
      </w:r>
      <w:bookmarkStart w:id="3" w:name="_Toc128467918"/>
      <w:r w:rsidR="00100759" w:rsidRPr="009573A7">
        <w:rPr>
          <w:rFonts w:asciiTheme="minorEastAsia" w:eastAsiaTheme="minorEastAsia" w:hAnsiTheme="minorEastAsia" w:hint="eastAsia"/>
          <w:b/>
          <w:bCs/>
          <w:color w:val="333333"/>
          <w:sz w:val="21"/>
          <w:szCs w:val="21"/>
        </w:rPr>
        <w:t>新冠病毒致病力是怎么变化的？专家解答</w:t>
      </w:r>
      <w:bookmarkEnd w:id="3"/>
    </w:p>
    <w:p w:rsidR="00100759" w:rsidRPr="009573A7" w:rsidRDefault="00100759" w:rsidP="0060638A">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(2023-02-26 人民网)</w:t>
      </w:r>
    </w:p>
    <w:p w:rsidR="00100759" w:rsidRPr="009573A7" w:rsidRDefault="00100759"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病毒的变异分为两类：一类是量变，会频繁发生，但不具备公共卫生意义；另一类是质变，就是其导致疾病的传播力和致病力变化。</w:t>
      </w:r>
    </w:p>
    <w:p w:rsidR="00100759" w:rsidRPr="009573A7" w:rsidRDefault="00100759"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近日，国务院联防联控机制召开新闻发布会，介绍巩固疫情防控重大成果有关情况，并回答媒体提问。</w:t>
      </w:r>
    </w:p>
    <w:p w:rsidR="00100759" w:rsidRPr="009573A7" w:rsidRDefault="00100759"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新冠病毒是一种单链的RNA，这种病毒的基本特征就是变异，变异是其常态。”国家卫生健康委疫情应对处置工作领导小组专家组组长梁万年介绍，从公共卫生的角度来看，这个病毒的变异分为两类：一类是量变，被称为漂移，会频繁发生，但不具备公共卫生意义；另一类是质变，就是其导致疾病的传播力和致病力变化，对人群疾病的流行和疫情的严重程度已经产生了影响，“这种变异是我们一直所关注的”。</w:t>
      </w:r>
    </w:p>
    <w:p w:rsidR="00100759" w:rsidRPr="009573A7" w:rsidRDefault="00100759"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梁万年表示，从全球来看，各国都一直关注着这种有价值、有公共卫生意义的变异，时刻做好警惕。我国在监测病毒变异方面所做的工作也是重中之重。病毒的变异具有高度的不确定性，迄今为止，人类还不能完全把控病毒的变异方向，但一定要千方百计地做好工作、做好准备，来应对可能出现一切质变的变异。</w:t>
      </w:r>
    </w:p>
    <w:p w:rsidR="00100759" w:rsidRPr="009573A7" w:rsidRDefault="00100759"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那么，如何把握病毒的致病力是变轻还是变重了，传染力是变轻还是减弱了？梁万年说，要做好相应的制度安排，其中最核心的是要布局好检测网络。在这个基础上，要做好防控能力建设，包括预警能力、处置能力，疫苗的进一步研发能力和快速地检测能力，力争对新的变异株所产生</w:t>
      </w:r>
      <w:r w:rsidRPr="009573A7">
        <w:rPr>
          <w:rFonts w:asciiTheme="minorEastAsia" w:eastAsiaTheme="minorEastAsia" w:hAnsiTheme="minorEastAsia" w:hint="eastAsia"/>
          <w:color w:val="333333"/>
          <w:sz w:val="21"/>
          <w:szCs w:val="21"/>
        </w:rPr>
        <w:lastRenderedPageBreak/>
        <w:t>的影响能够早发现、快速处理、精准防控。第三个方面是要加强医疗救治能力建设，包括重症救治能力、中医药的有效使用，能够研发和使用更可及、更方便、更有效的药物，以及加强感染者的健康管理和感染者的康复等。最后，还是要关注重点场所、重点机构、重点人群的保护，倡导健康的生活方式，做好个人防护工作。</w:t>
      </w:r>
    </w:p>
    <w:p w:rsidR="00100759" w:rsidRDefault="00100759"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摘引网址：https://jiankang.163.com/23/0226/20/HUHE5U5G0038804U.html</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p>
    <w:p w:rsidR="00100759" w:rsidRPr="009573A7" w:rsidRDefault="00100759" w:rsidP="009573A7">
      <w:pPr>
        <w:pStyle w:val="a7"/>
        <w:adjustRightInd w:val="0"/>
        <w:snapToGrid w:val="0"/>
        <w:spacing w:before="0" w:beforeAutospacing="0" w:after="0" w:afterAutospacing="0" w:line="360" w:lineRule="auto"/>
        <w:outlineLvl w:val="0"/>
        <w:rPr>
          <w:rFonts w:asciiTheme="minorEastAsia" w:eastAsiaTheme="minorEastAsia" w:hAnsiTheme="minorEastAsia"/>
          <w:color w:val="333333"/>
          <w:sz w:val="21"/>
          <w:szCs w:val="21"/>
        </w:rPr>
      </w:pPr>
      <w:bookmarkStart w:id="4" w:name="_Toc128467919"/>
      <w:r w:rsidRPr="009573A7">
        <w:rPr>
          <w:rFonts w:asciiTheme="minorEastAsia" w:eastAsiaTheme="minorEastAsia" w:hAnsiTheme="minorEastAsia" w:hint="eastAsia"/>
          <w:b/>
          <w:bCs/>
          <w:color w:val="333333"/>
          <w:sz w:val="21"/>
          <w:szCs w:val="21"/>
        </w:rPr>
        <w:t>甲流和诺如病毒感染如何预防（服务窗·科学防疫）</w:t>
      </w:r>
      <w:bookmarkEnd w:id="4"/>
    </w:p>
    <w:p w:rsidR="00100759" w:rsidRPr="009573A7" w:rsidRDefault="00100759" w:rsidP="0060638A">
      <w:pPr>
        <w:pStyle w:val="a7"/>
        <w:adjustRightInd w:val="0"/>
        <w:snapToGrid w:val="0"/>
        <w:spacing w:before="0" w:beforeAutospacing="0" w:after="0" w:afterAutospacing="0" w:line="360" w:lineRule="auto"/>
        <w:jc w:val="both"/>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(2023-02-27  人民网－人民日报)</w:t>
      </w:r>
    </w:p>
    <w:p w:rsidR="00100759"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Pr>
          <w:rFonts w:asciiTheme="minorEastAsia" w:eastAsiaTheme="minorEastAsia" w:hAnsiTheme="minorEastAsia" w:hint="eastAsia"/>
          <w:color w:val="333333"/>
          <w:sz w:val="21"/>
          <w:szCs w:val="21"/>
        </w:rPr>
        <w:t xml:space="preserve">    </w:t>
      </w:r>
      <w:r w:rsidR="00100759" w:rsidRPr="009573A7">
        <w:rPr>
          <w:rFonts w:asciiTheme="minorEastAsia" w:eastAsiaTheme="minorEastAsia" w:hAnsiTheme="minorEastAsia" w:hint="eastAsia"/>
          <w:color w:val="333333"/>
          <w:sz w:val="21"/>
          <w:szCs w:val="21"/>
        </w:rPr>
        <w:t>每年冬春季节是甲流、诺如病毒感染等传染病的高发季节，最近一些地方也出现了散发病例。甲流和诺如病毒感染有什么特点？感染后会出现什么症状？如何治疗和预防？国家卫健委组织专家进行了解答。</w:t>
      </w:r>
      <w:r w:rsidR="00100759" w:rsidRPr="009573A7">
        <w:rPr>
          <w:rFonts w:asciiTheme="minorEastAsia" w:eastAsia="MS Gothic" w:hAnsi="MS Gothic" w:cs="MS Gothic" w:hint="eastAsia"/>
          <w:color w:val="333333"/>
          <w:sz w:val="21"/>
          <w:szCs w:val="21"/>
        </w:rPr>
        <w:t> </w:t>
      </w:r>
      <w:r w:rsidR="00100759" w:rsidRPr="009573A7">
        <w:rPr>
          <w:rFonts w:asciiTheme="minorEastAsia" w:eastAsia="MS Gothic" w:hAnsi="MS Gothic" w:cs="MS Gothic" w:hint="eastAsia"/>
          <w:color w:val="333333"/>
          <w:sz w:val="21"/>
          <w:szCs w:val="21"/>
        </w:rPr>
        <w:t> </w:t>
      </w:r>
    </w:p>
    <w:p w:rsidR="00100759" w:rsidRPr="009573A7" w:rsidRDefault="00100759"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甲流与普通感冒有何不同？北京大学第一医院感染疾病科主任王贵强分析，首先是病原和病因不一样，甲流属于感染甲型流感病毒，而感冒是由其他一些病毒，比如鼻病毒、腺病毒等病毒感染引起。其次，甲流的症状更重，有发热、高热、全身肌肉酸痛、关节酸痛、头痛等症状，严重的可能导致炎症，甚至出现全身病毒血症，导致基础病发作和加重。有一部分人感染甲流后可能会出现继发的感染，比如肺炎、上呼吸道感染性气管炎等。感冒症状总体比较轻，出现低烧、流鼻涕、眼睛干涩、咳嗽、咽喉不舒服等。第三，从治疗方法看，治疗甲流有特异性药物。甲流虽然属于自限性疾病，但早期使用抗病毒药物可以缩短病程，减轻症状，降低重症风险。普通感冒一般对症治疗，多喝水，注意休息就可以了。第四，从预后和并发症来看，甲流危害性较大，如出现肺炎、诱发基础病加重、引发心脑血管疾病等，而感冒不会出现并发症。</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p>
    <w:p w:rsidR="00100759" w:rsidRPr="009573A7" w:rsidRDefault="00100759"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r w:rsidRPr="009573A7">
        <w:rPr>
          <w:rFonts w:asciiTheme="minorEastAsia" w:eastAsiaTheme="minorEastAsia" w:hAnsiTheme="minorEastAsia" w:hint="eastAsia"/>
          <w:color w:val="333333"/>
          <w:sz w:val="21"/>
          <w:szCs w:val="21"/>
        </w:rPr>
        <w:t>“治疗甲流主要采取对症支持治疗为主。”王贵强说，症状较重的感染者和有基础病的老年人，建议使用抗病毒药物，避免病情进一步恶化，导致基础病的加重等。感染者如果持续高热不退，出现气短、基础病加重，要及时就医。</w:t>
      </w:r>
    </w:p>
    <w:p w:rsidR="00100759" w:rsidRPr="009573A7" w:rsidRDefault="00100759"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诺如病毒属于杯状病毒科，是引起急性胃肠炎常见的病原体之一。王贵强介绍，诺如病毒喜低温，因此每年秋冬春是高发季。诺如病毒主要通过摄入被粪便或呕吐物污染的食物或水、接触患者粪便或呕吐物、吸入呕吐时产生的气溶胶，以及间接接触被粪便或呕吐物污染的物品和环境等感染。诺如病毒具有感染剂量低、排毒时间长、外环境抵抗力强等特点，容易在学校、托幼机构等相对封闭环境引起胃肠炎暴发。感染者的主要症状为恶心、呕吐、发热、腹痛和腹泻，部分患者有头痛、畏寒和肌肉酸痛等症状。儿童以呕吐为主，成人则腹泻居多，粪便为稀水便或水样便。呕吐和腹泻会导致人体大量的电解质和水分流失，如果不及时补充，可能会引发休克，甚至电解质紊乱。</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p>
    <w:p w:rsidR="00100759" w:rsidRPr="009573A7" w:rsidRDefault="00100759"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r w:rsidRPr="009573A7">
        <w:rPr>
          <w:rFonts w:asciiTheme="minorEastAsia" w:eastAsiaTheme="minorEastAsia" w:hAnsiTheme="minorEastAsia" w:hint="eastAsia"/>
          <w:color w:val="333333"/>
          <w:sz w:val="21"/>
          <w:szCs w:val="21"/>
        </w:rPr>
        <w:t>“诺如病毒胃肠炎属于自限性疾病，目前尚无有效的抗病毒药物可以治疗。”王贵强表示，多数患者发病后症状轻，无需治疗，休息2—3天即可康复，可口服糖盐水或补液盐补充呕吐和腹泻</w:t>
      </w:r>
      <w:r w:rsidRPr="009573A7">
        <w:rPr>
          <w:rFonts w:asciiTheme="minorEastAsia" w:eastAsiaTheme="minorEastAsia" w:hAnsiTheme="minorEastAsia" w:hint="eastAsia"/>
          <w:color w:val="333333"/>
          <w:sz w:val="21"/>
          <w:szCs w:val="21"/>
        </w:rPr>
        <w:lastRenderedPageBreak/>
        <w:t>所消耗的水分。婴幼儿、老人，特别是伴有基础性疾病的老人，如因频繁呕吐或腹泻出现脱水等较严重的症状时，应及时就医。</w:t>
      </w:r>
    </w:p>
    <w:p w:rsidR="00100759" w:rsidRPr="009573A7" w:rsidRDefault="00100759"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如何预防甲流？王贵强表示，接种流感疫苗是最经济、最有效的预防手段。每年秋季是接种疫苗最佳时期。儿童尤其是</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r w:rsidRPr="009573A7">
        <w:rPr>
          <w:rFonts w:asciiTheme="minorEastAsia" w:eastAsiaTheme="minorEastAsia" w:hAnsiTheme="minorEastAsia" w:hint="eastAsia"/>
          <w:color w:val="333333"/>
          <w:sz w:val="21"/>
          <w:szCs w:val="21"/>
        </w:rPr>
        <w:t>3岁以下儿童和65岁以上的老年人是甲流的易感人群，应该积极接种疫苗预防感染。小学、托育机构的儿童，经常处于人员集中的环境中，更容易感染甲流，也应该接种疫苗。患有基础疾病的人感染后，可能会导致基础病加重，出现重症，也应该接种疫苗。</w:t>
      </w:r>
    </w:p>
    <w:p w:rsidR="00100759" w:rsidRPr="009573A7" w:rsidRDefault="00100759"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流感属于呼吸道疾病。王贵强认为，坚持戴口罩、保持手卫生、注意通风、保持社交距离等良好的卫生习惯有利于降低流感传播风险。</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p>
    <w:p w:rsidR="00100759" w:rsidRPr="009573A7" w:rsidRDefault="00100759"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如何避免诺如病毒感染？王贵强说，目前，没有预防诺如病毒的疫苗可以用，因此，切断病毒传染路径是最好的预防方法。诺如病毒通过消化道感染，也即</w:t>
      </w:r>
      <w:r w:rsidRPr="009573A7">
        <w:rPr>
          <w:rFonts w:asciiTheme="minorEastAsia" w:eastAsia="MS Gothic" w:hAnsi="MS Gothic" w:cs="MS Gothic" w:hint="eastAsia"/>
          <w:color w:val="333333"/>
          <w:sz w:val="21"/>
          <w:szCs w:val="21"/>
        </w:rPr>
        <w:t> </w:t>
      </w:r>
      <w:r w:rsidRPr="009573A7">
        <w:rPr>
          <w:rFonts w:asciiTheme="minorEastAsia" w:eastAsia="MS Gothic" w:hAnsi="MS Gothic" w:cs="MS Gothic" w:hint="eastAsia"/>
          <w:color w:val="333333"/>
          <w:sz w:val="21"/>
          <w:szCs w:val="21"/>
        </w:rPr>
        <w:t> </w:t>
      </w:r>
      <w:r w:rsidRPr="009573A7">
        <w:rPr>
          <w:rFonts w:asciiTheme="minorEastAsia" w:eastAsiaTheme="minorEastAsia" w:hAnsiTheme="minorEastAsia" w:hint="eastAsia"/>
          <w:color w:val="333333"/>
          <w:sz w:val="21"/>
          <w:szCs w:val="21"/>
        </w:rPr>
        <w:t>“病从口入”，因此一定要对食品、水源进行良好的卫生管理，防止沾染病毒。就个人而言，应该做好手卫生，做到勤洗手，尤其是饭前便后洗手。幼儿园、托幼机构、小学等人群聚集的地方，出现诺如病毒感染疫情后，要马上看是否水源或食物被污染了，如果是食堂被污染了，那么一定要进行严格消杀，避免传播范围扩大。</w:t>
      </w:r>
    </w:p>
    <w:p w:rsidR="00100759" w:rsidRPr="009573A7" w:rsidRDefault="00100759"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w:t>
      </w:r>
      <w:r w:rsidRPr="009573A7">
        <w:rPr>
          <w:rFonts w:asciiTheme="minorEastAsia" w:eastAsia="MS Gothic" w:hAnsi="MS Gothic" w:cs="MS Gothic" w:hint="eastAsia"/>
          <w:color w:val="333333"/>
          <w:sz w:val="21"/>
          <w:szCs w:val="21"/>
        </w:rPr>
        <w:t> </w:t>
      </w:r>
      <w:r w:rsidRPr="009573A7">
        <w:rPr>
          <w:rFonts w:asciiTheme="minorEastAsia" w:eastAsiaTheme="minorEastAsia" w:hAnsiTheme="minorEastAsia" w:hint="eastAsia"/>
          <w:color w:val="333333"/>
          <w:sz w:val="21"/>
          <w:szCs w:val="21"/>
        </w:rPr>
        <w:t>人民日报》（ 2023年02月27日 12 版）</w:t>
      </w:r>
    </w:p>
    <w:p w:rsidR="00100759" w:rsidRDefault="00100759" w:rsidP="0060638A">
      <w:pPr>
        <w:pStyle w:val="a7"/>
        <w:adjustRightInd w:val="0"/>
        <w:snapToGrid w:val="0"/>
        <w:spacing w:before="0" w:beforeAutospacing="0" w:after="0" w:afterAutospacing="0" w:line="360" w:lineRule="auto"/>
        <w:jc w:val="both"/>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摘引网址：http://health.people.com.cn/n1/2023/0227/c14739-32631650.html</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p>
    <w:p w:rsidR="009573A7" w:rsidRPr="009573A7" w:rsidRDefault="009573A7" w:rsidP="0060638A">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b/>
          <w:bCs/>
          <w:color w:val="333333"/>
          <w:sz w:val="21"/>
          <w:szCs w:val="21"/>
        </w:rPr>
        <w:t>Science：为何有些癌症患者对免疫疗法没反应？其体内或缺少特殊的关键免疫细胞！</w:t>
      </w:r>
    </w:p>
    <w:p w:rsidR="009573A7" w:rsidRPr="009573A7" w:rsidRDefault="0060638A" w:rsidP="0060638A">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Pr>
          <w:rFonts w:asciiTheme="minorEastAsia" w:eastAsiaTheme="minorEastAsia" w:hAnsiTheme="minorEastAsia" w:hint="eastAsia"/>
          <w:color w:val="333333"/>
          <w:sz w:val="21"/>
          <w:szCs w:val="21"/>
        </w:rPr>
        <w:t>(</w:t>
      </w:r>
      <w:r w:rsidR="009573A7" w:rsidRPr="009573A7">
        <w:rPr>
          <w:rFonts w:asciiTheme="minorEastAsia" w:eastAsiaTheme="minorEastAsia" w:hAnsiTheme="minorEastAsia" w:hint="eastAsia"/>
          <w:color w:val="333333"/>
          <w:sz w:val="21"/>
          <w:szCs w:val="21"/>
        </w:rPr>
        <w:t>2023-02-27  生物谷</w:t>
      </w:r>
      <w:r>
        <w:rPr>
          <w:rFonts w:asciiTheme="minorEastAsia" w:eastAsiaTheme="minorEastAsia" w:hAnsiTheme="minorEastAsia" w:hint="eastAsia"/>
          <w:color w:val="333333"/>
          <w:sz w:val="21"/>
          <w:szCs w:val="21"/>
        </w:rPr>
        <w:t>)</w:t>
      </w:r>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 如今，免疫疗法极大地改变了癌症患者的护理，比如在晚期黑色素瘤（一种最具致死性的人类皮肤癌）患者中，自从2011年引入了免疫疗法以来，其5年生存率从不到10%上升到了50%以上；然而，仅有一半的黑色素瘤患者会对免疫疗法产生反应，而且并没有产生反应的患者也面临着艰难的未来。近日，一篇发表在国际杂志Science上题为“CD5 expression by dendritic cells directs T cell immunity and sustains immunotherapy responses”的研究报告中，来自华盛顿大学医学院等机构的科学家们通过研究发现，对免疫疗法产生反应和不产生反应患者之间的差异或许与机体中名为CD5+ 树突状细胞的免疫细胞有关，因为其细胞表面携带有名为CD5的特殊蛋白。研究者表示，如果机体肿瘤中含有更多的CD5+ 树突状细胞，那么包括黑色素瘤在内的多种癌症类型的患者的寿命或许更长，而树突状细胞缺乏CD5的小鼠则并不会对免疫疗法做出更好的反应。</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这一研究结果或许表明，旨在增加CD5+树突状细胞数量或活性的补充疗法或许能将免疫疗法的救命益处扩大到更多癌症患者机体中。Eynav Klechevsky博士说道，如今免疫疗法已经彻底改变了人类癌症的治疗，但仍然有很多癌症患者并不会因这种疗法而获益。一些患者对某种形式的免疫疗法不会产生反应的部分原因在于其机体中树突状细胞群的数量被大幅减少了，于是研究人</w:t>
      </w:r>
      <w:r w:rsidRPr="009573A7">
        <w:rPr>
          <w:rFonts w:asciiTheme="minorEastAsia" w:eastAsiaTheme="minorEastAsia" w:hAnsiTheme="minorEastAsia" w:hint="eastAsia"/>
          <w:color w:val="333333"/>
          <w:sz w:val="21"/>
          <w:szCs w:val="21"/>
        </w:rPr>
        <w:lastRenderedPageBreak/>
        <w:t>员正在开发一种新型基于免疫的方法来增强这些表达CD5的树突状细胞的活性，旨在帮助更多患者对免疫疗法产生反应。</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免疫系统能通过激活名为T细胞的免疫细胞来识别并杀灭肿瘤细胞，从而抵御癌症，作为回应，肿瘤细胞则会操控免疫检查点系统（一种能预防T细胞错误攻击健康细胞的保障措施）从而蒙蔽T细胞使其不再理会它们，免疫检查点阻滞疗法能通过阻挠肿瘤细胞的操控来发挥作用，从而就能使得T细胞识别并摧毁肿瘤，但即使有了这些治疗，一些患者机体的T细胞仍然无法有效发挥其作用。于是研究者Klechevsky等人就推测，对免疫疗法不产生反应的患者或许存在树突状细胞的问题，如果将T细胞比喻为足球场上的球员的话，那么树突状细胞就是教练，其能让球员为比赛打起精神并给其下达指令，如果没有树突状细胞的话，T细胞就会被压制且会漫无目的。通过分析来自人类癌症基因组数据库中的数据，研究人员发现，如果患者机体肿瘤中存在高水平的CD5+ 树突状细胞，那么癌症患者的病情或许会变得更好，这些癌症患者包括皮肤癌、肺癌、骨癌和软组织癌、乳腺癌和宫颈癌等。对人类细胞和小鼠进一步分析后，研究者发现，CD5+ 树突状细胞或许是有效对抗肿瘤的T细胞活性所必须的，来自人体的CD5+ 树突状细胞能非常强有力地诱导T细胞激活并增殖，而患肿瘤的小鼠对免疫疗法的反应很弱，如果其树突状细胞上缺失CD5的话或许就无法有效排斥肿瘤了。</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相关研究结果表明，肿瘤中CD5+树突状细胞的数量或能被用来帮助临床医生评估哪些患者最能从免疫疗法中获益，此外，增加诸如树突状细胞等细胞的活性或数量或能潜在帮助更多患者从免疫疗法的治疗中获益，作为这项研究的一部分，研究人员还发现，免疫蛋白IL-6能增加CD5+树突状细胞的数量。</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最后研究者Klechevsky表示，我们仍然并不完全理解免疫疗法到底是如何发挥作用的，本文研究结果提示，后期我们或许还需要进行大量研究来提高这些疗法的治疗效率，如果能找到利用这些细胞的新方法或者在患者机体中扩大这些细胞的水平，或许就能帮助更多患者。综上，本文研究结果表明，CD5+树突状细胞或许能作为最佳的癌症免疫检查点阻滞疗法的必要组成部分。</w:t>
      </w:r>
    </w:p>
    <w:p w:rsidR="009573A7" w:rsidRPr="009573A7" w:rsidRDefault="009573A7" w:rsidP="009573A7">
      <w:pPr>
        <w:pStyle w:val="a7"/>
        <w:adjustRightInd w:val="0"/>
        <w:snapToGrid w:val="0"/>
        <w:spacing w:before="0" w:beforeAutospacing="0" w:after="0" w:afterAutospacing="0" w:line="360" w:lineRule="auto"/>
        <w:ind w:firstLine="39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摘引网址：</w:t>
      </w:r>
      <w:hyperlink r:id="rId8" w:history="1">
        <w:r w:rsidRPr="009573A7">
          <w:rPr>
            <w:rStyle w:val="a4"/>
            <w:rFonts w:asciiTheme="minorEastAsia" w:eastAsiaTheme="minorEastAsia" w:hAnsiTheme="minorEastAsia" w:hint="eastAsia"/>
            <w:color w:val="333333"/>
            <w:sz w:val="21"/>
            <w:szCs w:val="21"/>
          </w:rPr>
          <w:t>https://news.bioon.com/article/4bbde602717f.html</w:t>
        </w:r>
      </w:hyperlink>
    </w:p>
    <w:p w:rsidR="009573A7" w:rsidRPr="009573A7" w:rsidRDefault="009573A7" w:rsidP="009573A7">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 </w:t>
      </w:r>
    </w:p>
    <w:p w:rsidR="009573A7" w:rsidRPr="009573A7" w:rsidRDefault="009573A7" w:rsidP="0060638A">
      <w:pPr>
        <w:pStyle w:val="a7"/>
        <w:adjustRightInd w:val="0"/>
        <w:snapToGrid w:val="0"/>
        <w:spacing w:before="0" w:beforeAutospacing="0" w:after="0" w:afterAutospacing="0" w:line="360" w:lineRule="auto"/>
        <w:outlineLvl w:val="0"/>
        <w:rPr>
          <w:rFonts w:asciiTheme="minorEastAsia" w:eastAsiaTheme="minorEastAsia" w:hAnsiTheme="minorEastAsia"/>
          <w:color w:val="333333"/>
          <w:sz w:val="21"/>
          <w:szCs w:val="21"/>
        </w:rPr>
      </w:pPr>
      <w:bookmarkStart w:id="5" w:name="_Toc128388831"/>
      <w:bookmarkStart w:id="6" w:name="_Toc128467920"/>
      <w:bookmarkEnd w:id="5"/>
      <w:r w:rsidRPr="009573A7">
        <w:rPr>
          <w:rFonts w:asciiTheme="minorEastAsia" w:eastAsiaTheme="minorEastAsia" w:hAnsiTheme="minorEastAsia" w:hint="eastAsia"/>
          <w:b/>
          <w:bCs/>
          <w:color w:val="333333"/>
          <w:sz w:val="21"/>
          <w:szCs w:val="21"/>
        </w:rPr>
        <w:t>甲流进入高发期，症状与新冠有哪些区别？</w:t>
      </w:r>
      <w:bookmarkEnd w:id="6"/>
    </w:p>
    <w:p w:rsidR="009573A7" w:rsidRPr="009573A7" w:rsidRDefault="0060638A" w:rsidP="0060638A">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Pr>
          <w:rFonts w:asciiTheme="minorEastAsia" w:eastAsiaTheme="minorEastAsia" w:hAnsiTheme="minorEastAsia" w:hint="eastAsia"/>
          <w:color w:val="333333"/>
          <w:sz w:val="21"/>
          <w:szCs w:val="21"/>
        </w:rPr>
        <w:t>(</w:t>
      </w:r>
      <w:r w:rsidR="009573A7" w:rsidRPr="009573A7">
        <w:rPr>
          <w:rFonts w:asciiTheme="minorEastAsia" w:eastAsiaTheme="minorEastAsia" w:hAnsiTheme="minorEastAsia" w:hint="eastAsia"/>
          <w:color w:val="333333"/>
          <w:sz w:val="21"/>
          <w:szCs w:val="21"/>
        </w:rPr>
        <w:t>2023-02-27  科技日报</w:t>
      </w:r>
      <w:r>
        <w:rPr>
          <w:rFonts w:asciiTheme="minorEastAsia" w:eastAsiaTheme="minorEastAsia" w:hAnsiTheme="minorEastAsia" w:hint="eastAsia"/>
          <w:color w:val="333333"/>
          <w:sz w:val="21"/>
          <w:szCs w:val="21"/>
        </w:rPr>
        <w:t>)</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 近日，甲流进入高发期，北京、上海、浙江、天津等地均有学校因学生患甲流而停课。</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甲流指甲型流感，是由甲型流感病毒引起的急性呼吸道传染病，常发生在冬春季。</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那么，面对来势汹汹的甲流，我们应该如何预防？我们能从症状上区分甲流与新冠吗？甲流新冠会叠加吗？……</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为此，科技日报专访了首都医科大学附属北京天坛医院感染科主任王宝增。</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甲流典型症状为发热 与新冠叠加的概率较低</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lastRenderedPageBreak/>
        <w:t>流感病毒可分为甲、乙、丙、丁4大家族，其中甲型流感较为常见，每年会呈季节性流行。中国国家流感中心发布的2023年第7周中国流感监测周报显示，近期甲型流感的来势最为凶猛。</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“甲流的潜伏期通常在1～3天，最主要的症状是发热、全身肌肉酸痛与头痛，也会有一些较轻的呼吸道症状，例如咳嗽、流涕、咽痛等。”王宝增说。</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王宝增告诉科技日报记者，甲流与新冠在上呼吸道方面的症状相似。</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但是，甲流的典型症状是发烧与全身肌肉酸痛，而感染了新冠病毒的轻症与无症状患者一般不会出现这些情况。”王宝增说，“此外，新冠还可能会带来味觉、嗅觉的异常，部分新冠病毒患者会出现呕吐、腹泻与结膜炎的症状，这些症状在甲流感染中相对少见。”</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“特别是对味觉和嗅觉的影响，是新冠病毒的特点。”王宝增补充道。</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“从临床来看，非重症的新冠患者发生肺炎的情况比甲流多一些，对于老年人、有基础疾病的高危人群而言，感染甲流后出现肺部疾病等重症的案例比新冠少。”王宝增说。</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对于甲流与新冠的叠加，王宝增表示这种情况几率很小，即使出现，非高危人群出现危重症的情况也并不多见。</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目前我国大部分人群都对新冠有了免疫力，同时感染新冠与流感的概率很低，即使出现两种病毒同时感染的情况，也不一定就会成为危重症。是否成为危重症与个人的体质有关，对于非高危人群，即使同时感染两种病毒，自身较强的抵抗力也会降低发生危重症的风险。”王宝增说，“但建议未感染过新冠病毒的群体，还是继续做好防护。”</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王宝增告诉科技日报记者，感染甲流后所产生的抗体有效期一般为半年。“近三年来，很多人没有接种流感疫苗，也因为较好的个人防护没有得过流感，所以流感的抗体水平偏低。近期人群聚集的情况增多，所以出现了较多感染的报道。”王宝增说。</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预防甲流，首选接种流感疫苗</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王宝增表示，预防甲流，最有效的方式是接种流感疫苗。“推荐在甲流流行期开始之前进行接种，一般是10月。当然在流行期间也可以去接种疫苗。”王宝增说。</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除了流感疫苗外，甲流其他的防护措施与新冠防护基本相同。</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可以尽量少去人员密集区域，如果去就戴好口罩，不揉眼鼻，在公共场合，如果需要咳嗽和打喷嚏，尽量用手臂、纸巾遮住口鼻。回家后换下外衣，家里定时开窗通风。居家消毒可以选择酒精和含氯消毒液。”王宝增说，“如果家中没有甲流患者，不必要在家中进行大范围的消毒。对于小规模的暴发，可用含氯消毒液对房间进行擦拭。”</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如果感染了甲流，也不必恐慌。“对于体质较好的群体而言，可以对症治疗，部分群体也可以不经治疗自行痊愈。”王宝增说，“但对于高危人群，例如婴幼儿、老年人和有基础疾病的人群，还是建议使用抗病毒药物，减少危重症的发生。”</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“如果患者出现持续高烧、呼吸困难、严重呕吐腹泻等症状，一定需要积极就诊，避免延误病情。”王宝增强调。</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王宝增告诉科技日报记者，在感染甲流后一定需要注意休息，建议3至4周后逐渐恢复运动。</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lastRenderedPageBreak/>
        <w:t>“无论是新冠还是甲流，只要发生了病毒感染，都可能对一些身体器官带来损害，特别是心脏。因此感染后休息3至4周再运动，可以降低病毒性心肌炎发生的风险。”王宝增说。</w:t>
      </w:r>
    </w:p>
    <w:p w:rsidR="009573A7" w:rsidRPr="009573A7" w:rsidRDefault="009573A7" w:rsidP="009573A7">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9573A7">
        <w:rPr>
          <w:rFonts w:asciiTheme="minorEastAsia" w:eastAsiaTheme="minorEastAsia" w:hAnsiTheme="minorEastAsia" w:hint="eastAsia"/>
          <w:color w:val="333333"/>
          <w:sz w:val="21"/>
          <w:szCs w:val="21"/>
        </w:rPr>
        <w:t>摘引网址：https://health.huanqiu.com/article/4BryFTJneG2</w:t>
      </w:r>
    </w:p>
    <w:p w:rsidR="007C5DFF" w:rsidRPr="009573A7" w:rsidRDefault="007C5DFF" w:rsidP="009573A7">
      <w:pPr>
        <w:pStyle w:val="1"/>
        <w:adjustRightInd w:val="0"/>
        <w:snapToGrid w:val="0"/>
        <w:spacing w:before="0" w:after="0" w:line="360" w:lineRule="auto"/>
        <w:rPr>
          <w:rFonts w:asciiTheme="minorEastAsia" w:hAnsiTheme="minorEastAsia" w:cs="Times New Roman"/>
          <w:color w:val="333333"/>
          <w:sz w:val="21"/>
          <w:szCs w:val="21"/>
        </w:rPr>
      </w:pPr>
    </w:p>
    <w:bookmarkEnd w:id="0"/>
    <w:bookmarkEnd w:id="1"/>
    <w:p w:rsidR="009573A7" w:rsidRPr="009573A7" w:rsidRDefault="009573A7" w:rsidP="009573A7">
      <w:pPr>
        <w:adjustRightInd w:val="0"/>
        <w:snapToGrid w:val="0"/>
        <w:rPr>
          <w:rFonts w:asciiTheme="minorEastAsia" w:hAnsiTheme="minorEastAsia"/>
          <w:szCs w:val="21"/>
        </w:rPr>
      </w:pPr>
    </w:p>
    <w:sectPr w:rsidR="009573A7" w:rsidRPr="009573A7" w:rsidSect="00D93881">
      <w:footerReference w:type="default" r:id="rId9"/>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B0A" w:rsidRDefault="002B2B0A" w:rsidP="003C6FFE">
      <w:r>
        <w:separator/>
      </w:r>
    </w:p>
  </w:endnote>
  <w:endnote w:type="continuationSeparator" w:id="1">
    <w:p w:rsidR="002B2B0A" w:rsidRDefault="002B2B0A"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C97D29" w:rsidP="002F2290">
        <w:pPr>
          <w:pStyle w:val="a3"/>
          <w:jc w:val="center"/>
        </w:pPr>
        <w:r>
          <w:fldChar w:fldCharType="begin"/>
        </w:r>
        <w:r w:rsidR="00726786">
          <w:instrText xml:space="preserve"> PAGE   \* MERGEFORMAT </w:instrText>
        </w:r>
        <w:r>
          <w:fldChar w:fldCharType="separate"/>
        </w:r>
        <w:r w:rsidR="00596768" w:rsidRPr="00596768">
          <w:rPr>
            <w:noProof/>
            <w:lang w:val="zh-CN"/>
          </w:rPr>
          <w:t>1</w:t>
        </w:r>
        <w:r>
          <w:fldChar w:fldCharType="end"/>
        </w:r>
      </w:p>
    </w:sdtContent>
  </w:sdt>
  <w:p w:rsidR="002F2290" w:rsidRDefault="002B2B0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B0A" w:rsidRDefault="002B2B0A" w:rsidP="003C6FFE">
      <w:r>
        <w:separator/>
      </w:r>
    </w:p>
  </w:footnote>
  <w:footnote w:type="continuationSeparator" w:id="1">
    <w:p w:rsidR="002B2B0A" w:rsidRDefault="002B2B0A"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C2BC9"/>
    <w:rsid w:val="00100759"/>
    <w:rsid w:val="001428DD"/>
    <w:rsid w:val="0015344F"/>
    <w:rsid w:val="001A11A0"/>
    <w:rsid w:val="001B3B90"/>
    <w:rsid w:val="002270A5"/>
    <w:rsid w:val="00251D95"/>
    <w:rsid w:val="002578F8"/>
    <w:rsid w:val="002A284F"/>
    <w:rsid w:val="002B2B0A"/>
    <w:rsid w:val="002E5E98"/>
    <w:rsid w:val="003A2C3D"/>
    <w:rsid w:val="003A3475"/>
    <w:rsid w:val="003C6FFE"/>
    <w:rsid w:val="0043442B"/>
    <w:rsid w:val="0049345A"/>
    <w:rsid w:val="004B7CC3"/>
    <w:rsid w:val="004D12A3"/>
    <w:rsid w:val="00596768"/>
    <w:rsid w:val="005F0E31"/>
    <w:rsid w:val="005F641C"/>
    <w:rsid w:val="0060638A"/>
    <w:rsid w:val="006B7438"/>
    <w:rsid w:val="006B7D3C"/>
    <w:rsid w:val="007179D6"/>
    <w:rsid w:val="00726786"/>
    <w:rsid w:val="007C5DFF"/>
    <w:rsid w:val="00815E71"/>
    <w:rsid w:val="008F6471"/>
    <w:rsid w:val="009116B1"/>
    <w:rsid w:val="00935F62"/>
    <w:rsid w:val="009573A7"/>
    <w:rsid w:val="009B55F1"/>
    <w:rsid w:val="009D3FE9"/>
    <w:rsid w:val="00A37B02"/>
    <w:rsid w:val="00B9703D"/>
    <w:rsid w:val="00BD3F55"/>
    <w:rsid w:val="00BF5C4B"/>
    <w:rsid w:val="00C500D7"/>
    <w:rsid w:val="00C51691"/>
    <w:rsid w:val="00C56048"/>
    <w:rsid w:val="00C97D29"/>
    <w:rsid w:val="00D5385B"/>
    <w:rsid w:val="00D641D2"/>
    <w:rsid w:val="00DA03DE"/>
    <w:rsid w:val="00E1158F"/>
    <w:rsid w:val="00EA69C8"/>
    <w:rsid w:val="00ED6611"/>
    <w:rsid w:val="00EF6B08"/>
    <w:rsid w:val="00FE1C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semiHidden/>
    <w:unhideWhenUsed/>
    <w:rsid w:val="000C2BC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bioon.com/article/4bbde602717f.html" TargetMode="External"/><Relationship Id="rId3" Type="http://schemas.openxmlformats.org/officeDocument/2006/relationships/settings" Target="settings.xml"/><Relationship Id="rId7" Type="http://schemas.openxmlformats.org/officeDocument/2006/relationships/hyperlink" Target="https://www.chinacdc.cn/jkzt/crb/zl/szkb_11803/jszl_13141/202302/t2023022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244D5-A18F-4479-9BAD-F36662B47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1348</Words>
  <Characters>7686</Characters>
  <Application>Microsoft Office Word</Application>
  <DocSecurity>0</DocSecurity>
  <Lines>64</Lines>
  <Paragraphs>18</Paragraphs>
  <ScaleCrop>false</ScaleCrop>
  <Company>Microsoft</Company>
  <LinksUpToDate>false</LinksUpToDate>
  <CharactersWithSpaces>9016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7</cp:revision>
  <cp:lastPrinted>2023-03-02T02:30:00Z</cp:lastPrinted>
  <dcterms:created xsi:type="dcterms:W3CDTF">2023-02-28T01:01:00Z</dcterms:created>
  <dcterms:modified xsi:type="dcterms:W3CDTF">2023-03-02T02:32:00Z</dcterms:modified>
</cp:coreProperties>
</file>