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1F7D14" w:rsidP="00726786">
      <w:pPr>
        <w:adjustRightInd w:val="0"/>
        <w:snapToGrid w:val="0"/>
        <w:spacing w:line="360" w:lineRule="auto"/>
        <w:jc w:val="left"/>
        <w:rPr>
          <w:rFonts w:asciiTheme="minorEastAsia" w:hAnsiTheme="minorEastAsia"/>
          <w:color w:val="000000" w:themeColor="text1"/>
          <w:sz w:val="24"/>
          <w:szCs w:val="24"/>
        </w:rPr>
      </w:pPr>
      <w:r w:rsidRPr="001F7D14">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B248D">
        <w:rPr>
          <w:rFonts w:asciiTheme="minorEastAsia" w:hAnsiTheme="minorEastAsia" w:hint="eastAsia"/>
          <w:color w:val="000000" w:themeColor="text1"/>
          <w:sz w:val="24"/>
          <w:szCs w:val="24"/>
        </w:rPr>
        <w:t xml:space="preserve">    </w:t>
      </w:r>
      <w:r w:rsidR="00726786" w:rsidRPr="00C56048">
        <w:rPr>
          <w:rFonts w:asciiTheme="minorEastAsia" w:hAnsiTheme="minorEastAsia" w:hint="eastAsia"/>
          <w:color w:val="000000" w:themeColor="text1"/>
          <w:sz w:val="24"/>
          <w:szCs w:val="24"/>
        </w:rPr>
        <w:t xml:space="preserve"> 202</w:t>
      </w:r>
      <w:r w:rsidR="00C56048"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年第</w:t>
      </w:r>
      <w:r w:rsidR="00A11314">
        <w:rPr>
          <w:rFonts w:asciiTheme="minorEastAsia" w:hAnsiTheme="minorEastAsia" w:hint="eastAsia"/>
          <w:color w:val="000000" w:themeColor="text1"/>
          <w:sz w:val="24"/>
          <w:szCs w:val="24"/>
        </w:rPr>
        <w:t>1</w:t>
      </w:r>
      <w:r w:rsidR="007B248D">
        <w:rPr>
          <w:rFonts w:asciiTheme="minorEastAsia" w:hAnsiTheme="minorEastAsia" w:hint="eastAsia"/>
          <w:color w:val="000000" w:themeColor="text1"/>
          <w:sz w:val="24"/>
          <w:szCs w:val="24"/>
        </w:rPr>
        <w:t>1</w:t>
      </w:r>
      <w:r w:rsidR="00726786" w:rsidRPr="00C56048">
        <w:rPr>
          <w:rFonts w:asciiTheme="minorEastAsia" w:hAnsiTheme="minorEastAsia" w:hint="eastAsia"/>
          <w:color w:val="000000" w:themeColor="text1"/>
          <w:sz w:val="24"/>
          <w:szCs w:val="24"/>
        </w:rPr>
        <w:t>期（202</w:t>
      </w:r>
      <w:r w:rsidR="00A37B02" w:rsidRPr="00C56048">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年</w:t>
      </w:r>
      <w:r w:rsidR="00E76545">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月</w:t>
      </w:r>
      <w:r w:rsidR="007B248D">
        <w:rPr>
          <w:rFonts w:asciiTheme="minorEastAsia" w:hAnsiTheme="minorEastAsia" w:hint="eastAsia"/>
          <w:color w:val="000000" w:themeColor="text1"/>
          <w:sz w:val="24"/>
          <w:szCs w:val="24"/>
        </w:rPr>
        <w:t>20</w:t>
      </w:r>
      <w:r w:rsidR="00726786" w:rsidRPr="00C56048">
        <w:rPr>
          <w:rFonts w:asciiTheme="minorEastAsia" w:hAnsiTheme="minorEastAsia" w:hint="eastAsia"/>
          <w:color w:val="000000" w:themeColor="text1"/>
          <w:sz w:val="24"/>
          <w:szCs w:val="24"/>
        </w:rPr>
        <w:t>日-</w:t>
      </w:r>
      <w:r w:rsidR="00CF245C">
        <w:rPr>
          <w:rFonts w:asciiTheme="minorEastAsia" w:hAnsiTheme="minorEastAsia" w:hint="eastAsia"/>
          <w:color w:val="000000" w:themeColor="text1"/>
          <w:sz w:val="24"/>
          <w:szCs w:val="24"/>
        </w:rPr>
        <w:t>3</w:t>
      </w:r>
      <w:r w:rsidR="00726786" w:rsidRPr="00C56048">
        <w:rPr>
          <w:rFonts w:asciiTheme="minorEastAsia" w:hAnsiTheme="minorEastAsia" w:hint="eastAsia"/>
          <w:color w:val="000000" w:themeColor="text1"/>
          <w:sz w:val="24"/>
          <w:szCs w:val="24"/>
        </w:rPr>
        <w:t>月</w:t>
      </w:r>
      <w:r w:rsidR="007B248D">
        <w:rPr>
          <w:rFonts w:asciiTheme="minorEastAsia" w:hAnsiTheme="minorEastAsia" w:hint="eastAsia"/>
          <w:color w:val="000000" w:themeColor="text1"/>
          <w:sz w:val="24"/>
          <w:szCs w:val="24"/>
        </w:rPr>
        <w:t>26</w:t>
      </w:r>
      <w:r w:rsidR="00726786" w:rsidRPr="00C56048">
        <w:rPr>
          <w:rFonts w:asciiTheme="minorEastAsia" w:hAnsiTheme="minorEastAsia" w:hint="eastAsia"/>
          <w:color w:val="000000" w:themeColor="text1"/>
          <w:sz w:val="24"/>
          <w:szCs w:val="24"/>
        </w:rPr>
        <w:t>日）</w:t>
      </w:r>
    </w:p>
    <w:p w:rsidR="001C19E3" w:rsidRPr="00D26E66" w:rsidRDefault="001C19E3" w:rsidP="00D26E66">
      <w:pPr>
        <w:pStyle w:val="10"/>
      </w:pPr>
      <w:bookmarkStart w:id="0" w:name="_Toc130904209"/>
      <w:r w:rsidRPr="00D26E66">
        <w:rPr>
          <w:rFonts w:hint="eastAsia"/>
        </w:rPr>
        <w:t>本期目录</w:t>
      </w:r>
      <w:bookmarkEnd w:id="0"/>
    </w:p>
    <w:p w:rsidR="00D26E66" w:rsidRPr="00D26E66" w:rsidRDefault="001F7D14" w:rsidP="00D26E66">
      <w:pPr>
        <w:pStyle w:val="10"/>
        <w:rPr>
          <w:rFonts w:hAnsiTheme="minorEastAsia"/>
          <w:noProof/>
          <w:color w:val="auto"/>
          <w:shd w:val="clear" w:color="auto" w:fill="auto"/>
        </w:rPr>
      </w:pPr>
      <w:r w:rsidRPr="001F7D14">
        <w:rPr>
          <w:rFonts w:hAnsiTheme="minorHAnsi"/>
        </w:rPr>
        <w:fldChar w:fldCharType="begin"/>
      </w:r>
      <w:r w:rsidR="001C19E3" w:rsidRPr="001C19E3">
        <w:instrText xml:space="preserve"> </w:instrText>
      </w:r>
      <w:r w:rsidR="001C19E3" w:rsidRPr="001C19E3">
        <w:rPr>
          <w:rFonts w:hint="eastAsia"/>
        </w:rPr>
        <w:instrText>TOC \o "1-3" \h \z \u</w:instrText>
      </w:r>
      <w:r w:rsidR="001C19E3" w:rsidRPr="001C19E3">
        <w:instrText xml:space="preserve"> </w:instrText>
      </w:r>
      <w:r w:rsidRPr="001F7D14">
        <w:rPr>
          <w:rFonts w:hAnsiTheme="minorHAnsi"/>
        </w:rPr>
        <w:fldChar w:fldCharType="separate"/>
      </w:r>
      <w:hyperlink w:anchor="_Toc130904209" w:history="1"/>
      <w:hyperlink w:anchor="_Toc130904210" w:history="1">
        <w:r w:rsidR="00D26E66" w:rsidRPr="00D26E66">
          <w:rPr>
            <w:rStyle w:val="a4"/>
            <w:rFonts w:asciiTheme="minorEastAsia" w:eastAsiaTheme="minorEastAsia" w:hAnsiTheme="minorEastAsia" w:hint="eastAsia"/>
            <w:bCs/>
            <w:noProof/>
          </w:rPr>
          <w:t>全国新型冠状病毒感染疫情情况</w:t>
        </w:r>
        <w:r w:rsidR="00D26E66" w:rsidRPr="00D26E66">
          <w:rPr>
            <w:rFonts w:hAnsiTheme="minorEastAsia"/>
            <w:noProof/>
            <w:webHidden/>
          </w:rPr>
          <w:tab/>
        </w:r>
        <w:r w:rsidR="00D26E66" w:rsidRPr="00D26E66">
          <w:rPr>
            <w:rFonts w:hAnsiTheme="minorEastAsia"/>
            <w:noProof/>
            <w:webHidden/>
          </w:rPr>
          <w:fldChar w:fldCharType="begin"/>
        </w:r>
        <w:r w:rsidR="00D26E66" w:rsidRPr="00D26E66">
          <w:rPr>
            <w:rFonts w:hAnsiTheme="minorEastAsia"/>
            <w:noProof/>
            <w:webHidden/>
          </w:rPr>
          <w:instrText xml:space="preserve"> PAGEREF _Toc130904210 \h </w:instrText>
        </w:r>
        <w:r w:rsidR="00D26E66" w:rsidRPr="00D26E66">
          <w:rPr>
            <w:rFonts w:hAnsiTheme="minorEastAsia"/>
            <w:noProof/>
            <w:webHidden/>
          </w:rPr>
        </w:r>
        <w:r w:rsidR="00D26E66" w:rsidRPr="00D26E66">
          <w:rPr>
            <w:rFonts w:hAnsiTheme="minorEastAsia"/>
            <w:noProof/>
            <w:webHidden/>
          </w:rPr>
          <w:fldChar w:fldCharType="separate"/>
        </w:r>
        <w:r w:rsidR="00D26E66" w:rsidRPr="00D26E66">
          <w:rPr>
            <w:rFonts w:hAnsiTheme="minorEastAsia"/>
            <w:noProof/>
            <w:webHidden/>
          </w:rPr>
          <w:t>1</w:t>
        </w:r>
        <w:r w:rsidR="00D26E66" w:rsidRPr="00D26E66">
          <w:rPr>
            <w:rFonts w:hAnsiTheme="minorEastAsia"/>
            <w:noProof/>
            <w:webHidden/>
          </w:rPr>
          <w:fldChar w:fldCharType="end"/>
        </w:r>
      </w:hyperlink>
    </w:p>
    <w:p w:rsidR="00D26E66" w:rsidRPr="00D26E66" w:rsidRDefault="00D26E66" w:rsidP="00D26E66">
      <w:pPr>
        <w:pStyle w:val="10"/>
        <w:rPr>
          <w:noProof/>
          <w:color w:val="auto"/>
          <w:shd w:val="clear" w:color="auto" w:fill="auto"/>
        </w:rPr>
      </w:pPr>
      <w:hyperlink w:anchor="_Toc130904211" w:history="1">
        <w:r w:rsidRPr="00D26E66">
          <w:rPr>
            <w:rStyle w:val="a4"/>
            <w:rFonts w:asciiTheme="minorEastAsia" w:eastAsiaTheme="minorEastAsia" w:hAnsiTheme="minorEastAsia" w:hint="eastAsia"/>
            <w:bCs/>
            <w:noProof/>
          </w:rPr>
          <w:t>本轮流感高峰在部分省份已开始下降中疾控专家表示，流行的流感病毒以甲型</w:t>
        </w:r>
        <w:r w:rsidRPr="00D26E66">
          <w:rPr>
            <w:rStyle w:val="a4"/>
            <w:rFonts w:asciiTheme="minorEastAsia" w:eastAsiaTheme="minorEastAsia" w:hAnsiTheme="minorEastAsia"/>
            <w:bCs/>
            <w:noProof/>
          </w:rPr>
          <w:t>H1N1</w:t>
        </w:r>
        <w:r w:rsidRPr="00D26E66">
          <w:rPr>
            <w:rStyle w:val="a4"/>
            <w:rFonts w:asciiTheme="minorEastAsia" w:eastAsiaTheme="minorEastAsia" w:hAnsiTheme="minorEastAsia" w:hint="eastAsia"/>
            <w:bCs/>
            <w:noProof/>
          </w:rPr>
          <w:t>亚型流感病毒为主</w:t>
        </w:r>
        <w:r w:rsidRPr="00D26E66">
          <w:rPr>
            <w:noProof/>
            <w:webHidden/>
          </w:rPr>
          <w:tab/>
        </w:r>
        <w:r w:rsidRPr="00D26E66">
          <w:rPr>
            <w:noProof/>
            <w:webHidden/>
          </w:rPr>
          <w:fldChar w:fldCharType="begin"/>
        </w:r>
        <w:r w:rsidRPr="00D26E66">
          <w:rPr>
            <w:noProof/>
            <w:webHidden/>
          </w:rPr>
          <w:instrText xml:space="preserve"> PAGEREF _Toc130904211 \h </w:instrText>
        </w:r>
        <w:r w:rsidRPr="00D26E66">
          <w:rPr>
            <w:noProof/>
            <w:webHidden/>
          </w:rPr>
        </w:r>
        <w:r w:rsidRPr="00D26E66">
          <w:rPr>
            <w:noProof/>
            <w:webHidden/>
          </w:rPr>
          <w:fldChar w:fldCharType="separate"/>
        </w:r>
        <w:r w:rsidRPr="00D26E66">
          <w:rPr>
            <w:noProof/>
            <w:webHidden/>
          </w:rPr>
          <w:t>3</w:t>
        </w:r>
        <w:r w:rsidRPr="00D26E66">
          <w:rPr>
            <w:noProof/>
            <w:webHidden/>
          </w:rPr>
          <w:fldChar w:fldCharType="end"/>
        </w:r>
      </w:hyperlink>
    </w:p>
    <w:p w:rsidR="00D26E66" w:rsidRDefault="00D26E66" w:rsidP="00D26E66">
      <w:pPr>
        <w:pStyle w:val="10"/>
        <w:rPr>
          <w:rFonts w:asciiTheme="minorHAnsi"/>
          <w:noProof/>
          <w:color w:val="auto"/>
          <w:sz w:val="21"/>
          <w:szCs w:val="22"/>
          <w:shd w:val="clear" w:color="auto" w:fill="auto"/>
        </w:rPr>
      </w:pPr>
      <w:hyperlink w:anchor="_Toc130904212" w:history="1">
        <w:r w:rsidRPr="00D26E66">
          <w:rPr>
            <w:rStyle w:val="a4"/>
            <w:rFonts w:asciiTheme="minorEastAsia" w:eastAsiaTheme="minorEastAsia" w:hAnsiTheme="minorEastAsia" w:cs="Arial"/>
            <w:bCs/>
            <w:noProof/>
          </w:rPr>
          <w:t xml:space="preserve">JAMA Network Open | </w:t>
        </w:r>
        <w:r w:rsidRPr="00D26E66">
          <w:rPr>
            <w:rStyle w:val="a4"/>
            <w:rFonts w:asciiTheme="minorEastAsia" w:eastAsiaTheme="minorEastAsia" w:hAnsiTheme="minorEastAsia" w:cs="Arial" w:hint="eastAsia"/>
            <w:bCs/>
            <w:noProof/>
          </w:rPr>
          <w:t>张惠杰团队首次证实限时饮食是非酒精性脂肪肝的重要管理手段</w:t>
        </w:r>
        <w:r w:rsidRPr="00D26E66">
          <w:rPr>
            <w:noProof/>
            <w:webHidden/>
          </w:rPr>
          <w:tab/>
        </w:r>
        <w:r w:rsidRPr="00D26E66">
          <w:rPr>
            <w:noProof/>
            <w:webHidden/>
          </w:rPr>
          <w:fldChar w:fldCharType="begin"/>
        </w:r>
        <w:r w:rsidRPr="00D26E66">
          <w:rPr>
            <w:noProof/>
            <w:webHidden/>
          </w:rPr>
          <w:instrText xml:space="preserve"> PAGEREF _Toc130904212 \h </w:instrText>
        </w:r>
        <w:r w:rsidRPr="00D26E66">
          <w:rPr>
            <w:noProof/>
            <w:webHidden/>
          </w:rPr>
        </w:r>
        <w:r w:rsidRPr="00D26E66">
          <w:rPr>
            <w:noProof/>
            <w:webHidden/>
          </w:rPr>
          <w:fldChar w:fldCharType="separate"/>
        </w:r>
        <w:r w:rsidRPr="00D26E66">
          <w:rPr>
            <w:noProof/>
            <w:webHidden/>
          </w:rPr>
          <w:t>4</w:t>
        </w:r>
        <w:r w:rsidRPr="00D26E66">
          <w:rPr>
            <w:noProof/>
            <w:webHidden/>
          </w:rPr>
          <w:fldChar w:fldCharType="end"/>
        </w:r>
      </w:hyperlink>
    </w:p>
    <w:p w:rsidR="000A2242" w:rsidRDefault="001F7D14" w:rsidP="00E0302F">
      <w:pPr>
        <w:pStyle w:val="a7"/>
        <w:adjustRightInd w:val="0"/>
        <w:snapToGrid w:val="0"/>
        <w:spacing w:before="0" w:beforeAutospacing="0" w:after="0" w:afterAutospacing="0" w:line="360" w:lineRule="auto"/>
        <w:jc w:val="center"/>
        <w:rPr>
          <w:rFonts w:ascii="黑体" w:eastAsia="黑体" w:hint="eastAsia"/>
          <w:color w:val="000000" w:themeColor="text1"/>
        </w:rPr>
      </w:pPr>
      <w:r w:rsidRPr="001C19E3">
        <w:rPr>
          <w:rFonts w:ascii="黑体" w:eastAsia="黑体"/>
          <w:color w:val="000000" w:themeColor="text1"/>
        </w:rPr>
        <w:fldChar w:fldCharType="end"/>
      </w:r>
    </w:p>
    <w:p w:rsidR="007B248D" w:rsidRPr="007B248D" w:rsidRDefault="007B248D" w:rsidP="007B248D">
      <w:pPr>
        <w:pStyle w:val="a7"/>
        <w:adjustRightInd w:val="0"/>
        <w:snapToGrid w:val="0"/>
        <w:spacing w:before="0" w:beforeAutospacing="0" w:after="0" w:afterAutospacing="0" w:line="360" w:lineRule="auto"/>
        <w:outlineLvl w:val="0"/>
        <w:rPr>
          <w:rFonts w:asciiTheme="minorEastAsia" w:eastAsiaTheme="minorEastAsia" w:hAnsiTheme="minorEastAsia"/>
          <w:color w:val="333333"/>
        </w:rPr>
      </w:pPr>
      <w:bookmarkStart w:id="1" w:name="_Toc130904210"/>
      <w:r w:rsidRPr="007B248D">
        <w:rPr>
          <w:rFonts w:asciiTheme="minorEastAsia" w:eastAsiaTheme="minorEastAsia" w:hAnsiTheme="minorEastAsia" w:hint="eastAsia"/>
          <w:b/>
          <w:bCs/>
          <w:color w:val="333333"/>
        </w:rPr>
        <w:t>全国新型冠状病毒感染疫情情况</w:t>
      </w:r>
      <w:bookmarkEnd w:id="1"/>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(2023-03-25  中国疾病预防控制中心)</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一、感染监测数据</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（一）全国报告人群新冠病毒核酸检测结果。</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2022年12月9日以来，各省份报告人群新冠病毒核酸检测阳性数及阳性率呈现先增加后降低趋势，阳性人数12月22日达到高峰（694万）后波动下降，2023年3月23日降至3575；检测阳性率2022年12月25日达高峰（29.2%）后波动下降，2023年3月23日为0.7%（图1-1）。</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（二）全国报告人群新冠病毒抗原检测结果。</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各省份报告新冠病毒抗原检测量呈现波动减少趋势，从</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2022年12月19日的最高189万波动下降到3月23日的4.0万。新冠病毒抗原检测阳性数及阳性率自2022年12月9日快速上升，12月22日达高峰（33.7万、21.3%）后波动下降，2023年3月23日阳性数降至165（阳性率为0.4%）（图1-2）。</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二、全国发热门诊（诊室）诊疗情况</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（一）总体就诊人数结果。全国（不含港澳台）发热门诊（诊室）就诊人数于</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2022年12月23日达到峰值286.7万人次，随后连续下降；2023年1月23日后就诊人数呈现低位波动,近4周（2月24日-3月23日）在波动增加后呈现平台波动，3月23日为45.5万人次,较峰值下降了84.1%（图2-1）。</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说明：自</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2022年12月9日起，监测二级以上医疗机构发热门诊诊疗量；12月21日起，增加监测社区卫生服务中心和乡镇卫生院发热诊室诊疗量（不含村卫生室和社区卫生服务站）。</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（二）农村发热门诊（诊室）就诊人数结果。全国乡镇卫生院发热诊室就诊人数于</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2022年12月23日达到峰值92.2万人次，随后波动下降；2023年1月23日后呈现低位波动，近4周（2月24日-3月23日）呈波动增加，3月23日为10.9万人次，较峰值下降了88.2%（图2-2）。</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lastRenderedPageBreak/>
        <w:t>说明：农村发热患者诊疗量为乡镇卫生院发热诊室诊疗量（不含村卫生室）</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（三）城市发热门诊就诊人数结果。全国二级以上医疗机构和城市社区卫生服务中心发热门诊（诊室）就诊人数于</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2022年12月22日达到峰值195.4万人次，随后连续下降；1月23日后呈低位波动，近4周（2月24日-3月23日）在波动增加后呈现平台波动，3月23日为34.6万人次，较峰值下降了82.3%（图2-3）。</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说明：城市发热门诊诊疗量含二级以上医疗机构和社区卫生服务中心（不含社区卫生服务站）。</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（四）哨点医院监测结果。</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2022年9月-12月上旬，全国流感哨点医院每周流感样病例（体温≥38℃，伴咳嗽或咽痛之一）数量稳定在10万左右，流感样病例占门（急）诊就诊人数比值在2.7%-3.6%区间波动。第50周（12月12日-18日）明显上升至8.5%，第51周达到最高12.1%，第52周起快速下降。2023年第7周（2月13-19日）流感样病例占比（1.8%）开始呈现增加趋势，第10周(3月6日-12日)达阶段高峰（9.1%）后开始下降，第11周（3月13日-19日）流感样病例占比为8.8%。（图2-4）。</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2022年第49周（12月9日），流感样病例新冠病毒阳性率开始逐渐增加，在第51和52周期间达峰值后持续下降，2023年第7周（2月13-19日）新冠病毒阳性率下降至3.4%后略有反弹，近3周持续下降，第11周（3月13日-19日）新冠病毒阳性率为1.9%。2022年第49周以来，流感病毒阳性率则逐步降低，2022年12月下旬至2023年2月初处于极低水平（低于1.0%）；2023年第6周（2月6日-12日）以来流感病毒阳性率持续上升，第10周（3月6日-12日，阳性率为53.2%）后上升趋势明显趋缓，第11周为53.5%（图2-5）。</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三、住院诊疗情况</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（一）在院新冠病毒感染者结果。全国在院新冠病毒感染者于</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2023年1月5日达到峰值162.5万人，随后持续下降；3月23日下降至5881，较峰值减少了99.6%（图3-1）。</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（二）在院新冠病毒感染阳性重症患者结果。全国在院新冠病毒感染者中，重症患者数量于</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2022年12月27日至2023年1月3日期间每日增量近1万，1月4日增量明显下降，1月5日达到峰值12.8万后持续下降，3月23日下降至5例（其中新冠病毒感染重症1例、基础性疾病重症合并新冠病毒感染4例）（图3-2）。</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（三）在院新冠病毒感染死亡情况。在院新冠病毒感染死亡病例数于</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1月4日达到每日峰值4273例，随后持续下降，3月23日为0例（图3-3）。3月17日至3月23日，31个省（自治区、直辖市）及新疆生产建设兵团医疗机构累计在院新冠病毒感染相关死亡病例0例。</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四、新冠病毒感染本土病例病毒变异监测情况</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（一）总体情况。</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2022年9月26日至2023年3月23日，全国共报送35513例本土病例新冠病毒基因组有效序列，均为奥密克戎变异株，共存在113个进化分支，主要流行株为BA.5.2.48（45.4%）、BF.7.14（24.3%）、BA.5.2.49（9.6%）和DY.1（8.5%）。BF.7.14.1等26种进化分支构成比在0.1%-3.0%之间，83个进化分支的构成比小于0.1%（共占0.8%）（图4-1）。</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lastRenderedPageBreak/>
        <w:t>（二）</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12月以来本土病例病毒变异株监测情况。2022年12月1日至2023年3月23日，全国共报送26816例本土病例新冠病毒基因组有效序列，均为奥密克戎变异株，共存在68个进化分支。主要流行株为BA.5.2.48（49.5%）、BF.7.14（26.9%）和DY.1（9.0%）（表4-1）。共发现本土重点关注变异株120例，其中，4例BQ.1、2例BQ.1.1、1例BQ.1.1.17、1例BQ.1.1.38、2例BQ.1.1.66、1例BQ.1.1.69、8例BQ.1.2、2例BQ.1.8、1例CH.1.1、1例CH.1.1.1、1例DT.2、1例EA.1、6例XBB.1、2例XBB.1.11.1、1例XBB.1.12、36例XBB.1.5、1例XBB.1.5.5、7例XBB.1.5.7、2例XBB.1.9、31例XBB.1.9.1、5例XBB.1.9.2、2例XBB.2.3和2例XBB.3。</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（三）新冠病毒变异分省份情况。总体来看，北京、内蒙古和天津以</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BF.7及亚分支为优势株；其它省份均以BA.5.2及亚分支为优势株（图4-2）。</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五、新冠病毒疫苗接种进展</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截至</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2023年3月23日，31个省（自治区、直辖市）和新疆生产建设兵团累计报告接种新冠病毒疫苗349346.5万剂次（图5-1）。接种总人数131044.9万人，完成全程接种127702.0万人，完成第一剂次加强免疫接种82760.6万人。全人群第一剂次、全程接种覆盖比例分别达到93.0%和90.6%（图5-2）。60岁以上老年人累计报告接种新冠病毒疫苗68044.0万剂次，接种总人数24170.2万人，完成全程接种23035.3万人，完成第一剂次加强免疫接种19305.6万人。</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    注：1. 第一剂次接种率测算中分子为接种目前附条件上市或紧急使用新冠病毒疫苗至少1剂次的老年人群，分母为2022年12月10日各省上报的老年人摸底登记人口数。2.全程接种率测算中分子为接种灭活疫苗2剂次、腺病毒载体疫苗1剂次、重组蛋白疫苗3剂次的老年人群，分母为接种灭活疫苗1剂次、腺病毒载体疫苗1剂次和重组蛋白疫苗2剂次的老年人群，并且接种后间隔满28天（4周）。3.第一剂次加强免疫接种率测算分子为完成第一剂次加强免疫接种老年人群，分母为接种灭活疫苗2剂次、腺病毒载体疫苗1剂次的老年人群，且全程接种后间隔满3个月。（由于重组蛋白疫苗实施加强免疫接种的时间短，接种3剂次重组蛋白疫苗人群目前未包括在分母中）。</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    摘引网址：https://www.chinacdc.cn/jkzt/crb/zl/szkb_11803/jszl_</w:t>
      </w:r>
    </w:p>
    <w:p w:rsidR="007B248D" w:rsidRPr="007B248D" w:rsidRDefault="007B248D" w:rsidP="007B248D">
      <w:pPr>
        <w:pStyle w:val="a7"/>
        <w:adjustRightInd w:val="0"/>
        <w:snapToGrid w:val="0"/>
        <w:spacing w:before="0" w:beforeAutospacing="0" w:after="0" w:afterAutospacing="0" w:line="360" w:lineRule="auto"/>
        <w:jc w:val="center"/>
        <w:rPr>
          <w:rFonts w:asciiTheme="minorEastAsia" w:eastAsiaTheme="minorEastAsia" w:hAnsiTheme="minorEastAsia" w:hint="eastAsia"/>
          <w:color w:val="000000" w:themeColor="text1"/>
          <w:sz w:val="21"/>
          <w:szCs w:val="21"/>
        </w:rPr>
      </w:pPr>
    </w:p>
    <w:p w:rsidR="007B248D" w:rsidRPr="007B248D" w:rsidRDefault="007B248D" w:rsidP="007B248D">
      <w:pPr>
        <w:pStyle w:val="a7"/>
        <w:adjustRightInd w:val="0"/>
        <w:snapToGrid w:val="0"/>
        <w:spacing w:before="0" w:beforeAutospacing="0" w:after="0" w:afterAutospacing="0" w:line="360" w:lineRule="auto"/>
        <w:outlineLvl w:val="0"/>
        <w:rPr>
          <w:rFonts w:asciiTheme="minorEastAsia" w:eastAsiaTheme="minorEastAsia" w:hAnsiTheme="minorEastAsia" w:hint="eastAsia"/>
          <w:color w:val="333333"/>
        </w:rPr>
      </w:pPr>
      <w:bookmarkStart w:id="2" w:name="_Toc130904211"/>
      <w:r w:rsidRPr="007B248D">
        <w:rPr>
          <w:rFonts w:asciiTheme="minorEastAsia" w:eastAsiaTheme="minorEastAsia" w:hAnsiTheme="minorEastAsia" w:hint="eastAsia"/>
          <w:b/>
          <w:bCs/>
          <w:color w:val="333333"/>
        </w:rPr>
        <w:t>本轮流感高峰在部分省份已开始下降</w:t>
      </w:r>
      <w:bookmarkStart w:id="3" w:name="_Toc130290095"/>
      <w:bookmarkEnd w:id="3"/>
      <w:r w:rsidRPr="007B248D">
        <w:rPr>
          <w:rFonts w:asciiTheme="minorEastAsia" w:eastAsiaTheme="minorEastAsia" w:hAnsiTheme="minorEastAsia" w:hint="eastAsia"/>
          <w:b/>
          <w:bCs/>
          <w:color w:val="333333"/>
        </w:rPr>
        <w:t>中疾控专家表示，流行的流感病毒以甲型H1N1亚型流感病毒为主</w:t>
      </w:r>
      <w:bookmarkEnd w:id="2"/>
    </w:p>
    <w:p w:rsidR="007B248D" w:rsidRPr="007B248D" w:rsidRDefault="007B248D" w:rsidP="00D26E66">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(2023-03-21    新华社)</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新华社北京3月20日电（记者 顾天成）针对近期公众关心的流感防治热点问题，中国疾控中心病毒病所国家流感中心主任王大燕20日表示，继此前我国流感活动水平有所升高后，目前已监测到有几个省份流感活动高峰出现拐点，开始下降。</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w:t>
      </w: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今年较往年约晚2个月进入流感流行季，本次流行的流感病毒以甲型H1N1亚型流感病毒为主，其次为甲型H3N2亚型流感病毒。”王大燕表示，主要有两方面的原因，一是因为防控新冠病毒的</w:t>
      </w:r>
      <w:r w:rsidRPr="007B248D">
        <w:rPr>
          <w:rFonts w:asciiTheme="minorEastAsia" w:eastAsiaTheme="minorEastAsia" w:hAnsiTheme="minorEastAsia" w:hint="eastAsia"/>
          <w:color w:val="333333"/>
          <w:sz w:val="21"/>
          <w:szCs w:val="21"/>
        </w:rPr>
        <w:lastRenderedPageBreak/>
        <w:t>措施同时对季节性流感防控也非常有效，使得流感等其他呼吸道病毒流行受到一定程度压制；二是由于近3年甲型H1N1亚型流感病毒未在我国流行，导致人群对流感病毒的预存免疫力有所降低。</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MS Gothic" w:hAnsi="MS Gothic" w:cs="MS Gothic" w:hint="eastAsia"/>
          <w:color w:val="333333"/>
          <w:sz w:val="21"/>
          <w:szCs w:val="21"/>
        </w:rPr>
        <w:t> </w:t>
      </w:r>
      <w:r w:rsidRPr="007B248D">
        <w:rPr>
          <w:rFonts w:asciiTheme="minorEastAsia" w:eastAsia="MS Gothic" w:hAnsi="MS Gothic" w:cs="MS Gothic" w:hint="eastAsia"/>
          <w:color w:val="333333"/>
          <w:sz w:val="21"/>
          <w:szCs w:val="21"/>
        </w:rPr>
        <w:t> </w:t>
      </w:r>
      <w:r w:rsidRPr="007B248D">
        <w:rPr>
          <w:rFonts w:asciiTheme="minorEastAsia" w:eastAsiaTheme="minorEastAsia" w:hAnsiTheme="minorEastAsia" w:hint="eastAsia"/>
          <w:color w:val="333333"/>
          <w:sz w:val="21"/>
          <w:szCs w:val="21"/>
        </w:rPr>
        <w:t>专家提示，面对流感流行，公众应坚持做好个人防护，勤洗手、戴口罩、勤通风，尽量避免去人群聚集场所。若出现流感样症状，应避免带病上班、上学，接触家庭成员时需戴口罩。对于尚未接种流感疫苗的孕妇、老年人、慢性病患者、低龄儿童等高风险人群，建议在流感疫苗可及的情况下积极接种，仍能起到很好的预防保护作用。</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hint="eastAsia"/>
          <w:color w:val="333333"/>
          <w:sz w:val="21"/>
          <w:szCs w:val="21"/>
        </w:rPr>
        <w:t>    摘引网址：https://www.jkb.com.cn/news/industryNews/2023/0321/488578.html</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p>
    <w:p w:rsidR="007B248D" w:rsidRPr="007B248D" w:rsidRDefault="007B248D" w:rsidP="007B248D">
      <w:pPr>
        <w:pStyle w:val="a7"/>
        <w:adjustRightInd w:val="0"/>
        <w:snapToGrid w:val="0"/>
        <w:spacing w:before="0" w:beforeAutospacing="0" w:after="0" w:afterAutospacing="0" w:line="360" w:lineRule="auto"/>
        <w:outlineLvl w:val="0"/>
        <w:rPr>
          <w:rFonts w:asciiTheme="minorEastAsia" w:eastAsiaTheme="minorEastAsia" w:hAnsiTheme="minorEastAsia" w:hint="eastAsia"/>
          <w:color w:val="333333"/>
        </w:rPr>
      </w:pPr>
      <w:bookmarkStart w:id="4" w:name="_Toc130904212"/>
      <w:r w:rsidRPr="007B248D">
        <w:rPr>
          <w:rFonts w:asciiTheme="minorEastAsia" w:eastAsiaTheme="minorEastAsia" w:hAnsiTheme="minorEastAsia" w:cs="Arial" w:hint="eastAsia"/>
          <w:b/>
          <w:bCs/>
          <w:color w:val="333333"/>
        </w:rPr>
        <w:t>JAMA Network Open | 张惠杰团队首次证实限时饮食</w:t>
      </w:r>
      <w:bookmarkStart w:id="5" w:name="_Toc130376128"/>
      <w:bookmarkEnd w:id="5"/>
      <w:r w:rsidRPr="007B248D">
        <w:rPr>
          <w:rFonts w:asciiTheme="minorEastAsia" w:eastAsiaTheme="minorEastAsia" w:hAnsiTheme="minorEastAsia" w:cs="Arial" w:hint="eastAsia"/>
          <w:b/>
          <w:bCs/>
          <w:color w:val="333333"/>
        </w:rPr>
        <w:t>是非酒精性脂肪肝的重要管理手段</w:t>
      </w:r>
      <w:bookmarkEnd w:id="4"/>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cs="Arial" w:hint="eastAsia"/>
          <w:color w:val="333333"/>
          <w:sz w:val="21"/>
          <w:szCs w:val="21"/>
        </w:rPr>
        <w:t>(2023-03-21 </w:t>
      </w:r>
      <w:r w:rsidRPr="007B248D">
        <w:rPr>
          <w:rFonts w:asciiTheme="minorEastAsia" w:eastAsiaTheme="minorEastAsia" w:hAnsiTheme="minorEastAsia" w:cs="Arial"/>
          <w:color w:val="333333"/>
          <w:sz w:val="21"/>
          <w:szCs w:val="21"/>
        </w:rPr>
        <w:t>  </w:t>
      </w:r>
      <w:r w:rsidRPr="007B248D">
        <w:rPr>
          <w:rFonts w:asciiTheme="minorEastAsia" w:eastAsiaTheme="minorEastAsia" w:hAnsiTheme="minorEastAsia" w:cs="Arial" w:hint="eastAsia"/>
          <w:color w:val="333333"/>
          <w:sz w:val="21"/>
          <w:szCs w:val="21"/>
        </w:rPr>
        <w:t>bioart)</w:t>
      </w:r>
    </w:p>
    <w:p w:rsidR="007B248D" w:rsidRPr="007B248D" w:rsidRDefault="007B248D" w:rsidP="007B248D">
      <w:pPr>
        <w:pStyle w:val="a7"/>
        <w:adjustRightInd w:val="0"/>
        <w:snapToGrid w:val="0"/>
        <w:spacing w:before="0" w:beforeAutospacing="0" w:after="0" w:afterAutospacing="0" w:line="360" w:lineRule="auto"/>
        <w:rPr>
          <w:rFonts w:asciiTheme="minorEastAsia" w:eastAsiaTheme="minorEastAsia" w:hAnsiTheme="minorEastAsia" w:hint="eastAsia"/>
          <w:color w:val="333333"/>
          <w:sz w:val="21"/>
          <w:szCs w:val="21"/>
        </w:rPr>
      </w:pPr>
      <w:r w:rsidRPr="007B248D">
        <w:rPr>
          <w:rFonts w:asciiTheme="minorEastAsia" w:eastAsiaTheme="minorEastAsia" w:hAnsiTheme="minorEastAsia" w:cs="Arial"/>
          <w:color w:val="333333"/>
          <w:sz w:val="21"/>
          <w:szCs w:val="21"/>
        </w:rPr>
        <w:t> </w:t>
      </w:r>
      <w:r w:rsidRPr="007B248D">
        <w:rPr>
          <w:rFonts w:asciiTheme="minorEastAsia" w:eastAsiaTheme="minorEastAsia" w:hAnsiTheme="minorEastAsia" w:cs="Arial" w:hint="eastAsia"/>
          <w:color w:val="333333"/>
          <w:sz w:val="21"/>
          <w:szCs w:val="21"/>
        </w:rPr>
        <w:t>非酒精性脂肪肝（NAFLD）已成为全球主要的公共卫生挑战【1】。我国一般人群中约有29.2%的成年人患有NAFLD【2】，通过改变生活方式来减重可以改善肝脏脂肪含量和代谢紊乱【3】，其中热量限制摄入已被证实能有效降低NAFLD患者的体重和肝内脂质水平[4]。近年来的研究提示，限时饮食（Time-restricted eating）是一种将每日进食时间限制在4-12小时不等的间歇性禁食模式，因简单易行且能够有效降低体重、改善胰岛素抵抗和代谢紊乱等而备受关注【5】。2022年张惠杰团队发表在N Engl J Med的TREATY研究结果表明，限时饮食干预是一种安全、有效且可替代的肥胖管理方案，并在在国际上首次明确了限时饮食的肥胖治疗模式主要得益于能量限制，革新了过去对节食模式的传统认识【6】。然而迄今为止，限时饮食对NAFLD的疗效尚不确定，而且目前尚未有研究比较限时饮食和常规能量限制（Daily-calorie-restriction）对NAFLD患者肝内脂肪含量（Intrahepatic triglycerides）的长期影响。</w:t>
      </w:r>
    </w:p>
    <w:p w:rsidR="007B248D" w:rsidRPr="007B248D" w:rsidRDefault="007B248D" w:rsidP="007B248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248D">
        <w:rPr>
          <w:rFonts w:asciiTheme="minorEastAsia" w:eastAsiaTheme="minorEastAsia" w:hAnsiTheme="minorEastAsia" w:cs="Arial" w:hint="eastAsia"/>
          <w:color w:val="333333"/>
          <w:sz w:val="21"/>
          <w:szCs w:val="21"/>
        </w:rPr>
        <w:t>2023年3月17日，南方医科大学南方医院内分泌代谢科张惠杰教授与医学影像中心许乙凯教授合作在 JAMA Network Open在线发表题为 Effects of Time-Restricted Eating on Nonalcoholic Fatty Liver Disease: The TREATY-FLD Randomized Clinical Trial 的研究论文，该项随机对照试验（ClinicalTrials.gov number, NCT03786523 and NCT04988230）证实：在患有NAFLD的肥胖成人中，限时饮食和常规能量限制均能显著降低肝内脂肪含量和改善代谢紊乱；与常规能量限制相比，限时饮食在降低肝内脂肪含量、肝脏硬度、体重、体脂和代谢危险因素等方面没有产生额外的益处，研究结果强调在坚持限时饮食方案治疗NAFLD的同时限制热量摄入的重要性。</w:t>
      </w:r>
    </w:p>
    <w:p w:rsidR="007B248D" w:rsidRPr="007B248D" w:rsidRDefault="007B248D" w:rsidP="007B248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248D">
        <w:rPr>
          <w:rFonts w:asciiTheme="minorEastAsia" w:eastAsiaTheme="minorEastAsia" w:hAnsiTheme="minorEastAsia" w:cs="Arial" w:hint="eastAsia"/>
          <w:color w:val="333333"/>
          <w:sz w:val="21"/>
          <w:szCs w:val="21"/>
        </w:rPr>
        <w:t>TREATY-FLD是国际上首项评估8小时限时饮食对NAFLD患者肝内脂肪含量长期影响的随机临床试验（Wei, et al. 2023）。在该项为期12个月干预的原创性研究中，经严格筛选和磁共振成像证实患有NAFLD（肝内脂肪含量≥5%）的88名成年肥胖患者 (BMI 18-45kg/m2) 纳入研究并随机分为限时饮食组（n=45）和常规能量限制组（n=43），其中限时饮食组每日进食时间为8:00-16:00，</w:t>
      </w:r>
      <w:r w:rsidRPr="007B248D">
        <w:rPr>
          <w:rFonts w:asciiTheme="minorEastAsia" w:eastAsiaTheme="minorEastAsia" w:hAnsiTheme="minorEastAsia" w:cs="Arial" w:hint="eastAsia"/>
          <w:color w:val="333333"/>
          <w:sz w:val="21"/>
          <w:szCs w:val="21"/>
        </w:rPr>
        <w:lastRenderedPageBreak/>
        <w:t>8小时限时饮食期外只允许使用无热量饮料，而常规能量限制组则不限制任何进食时间。两组均接受相同的能量限制（约占参与者在基线时每日热量摄入量的75%），其中男性1500-1800 kcal/d，女性1200-1500 kcal/d，饮食营养素的供能比例符合平衡膳食模式（40-55%碳水化合物，15-20%蛋白质，20-30%脂肪）【7】，所有受试者均收到研究者提供的饮食指导手册（含膳食指南及样本菜单等内容）。在干预前6个月，予所有受试者每日提供蛋白奶昔（25g/袋），配合副食达到摄入营养的均衡。所有的受试者均被要求每日称量食物重量、拍摄食物并使用app记录图片和进食时间，经验丰富的营养师计算和评估每日热量摄入和营养素含量。所有受试者在试验期间接受同样的面对面（2次/月）或网络/电话等非面对面（2次/周）饮食监督、行为方式指导、精神心理支持等咨询指导，限时饮食组同时接受时间限制性饮食的监督与指导。干预7-12月，受试者接受同样的健康宣教（面对面（1次/月）或网络/电话等非面对面（1次/周））以保持原有的饮食模式，干预全程有营养师根据医学营养治疗指导选择相应的副食。干预期间所有受试者仅接受行为方式的指导咨询，并要求其保持运动习惯或活动水平。本研究严谨的干预措施被N Engl J Med评论性文章称赞“为生活方式管理体重的实施树立了标杆”【8】。</w:t>
      </w:r>
    </w:p>
    <w:p w:rsidR="007B248D" w:rsidRPr="007B248D" w:rsidRDefault="007B248D" w:rsidP="007B248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248D">
        <w:rPr>
          <w:rFonts w:asciiTheme="minorEastAsia" w:eastAsiaTheme="minorEastAsia" w:hAnsiTheme="minorEastAsia" w:cs="Arial" w:hint="eastAsia"/>
          <w:color w:val="333333"/>
          <w:sz w:val="21"/>
          <w:szCs w:val="21"/>
        </w:rPr>
        <w:t>研究结果发现，干预</w:t>
      </w:r>
      <w:r w:rsidRPr="007B248D">
        <w:rPr>
          <w:rFonts w:asciiTheme="minorEastAsia" w:eastAsiaTheme="minorEastAsia" w:hAnsiTheme="minorEastAsia" w:cs="Arial"/>
          <w:color w:val="333333"/>
          <w:sz w:val="21"/>
          <w:szCs w:val="21"/>
        </w:rPr>
        <w:t>6</w:t>
      </w:r>
      <w:r w:rsidRPr="007B248D">
        <w:rPr>
          <w:rFonts w:asciiTheme="minorEastAsia" w:eastAsiaTheme="minorEastAsia" w:hAnsiTheme="minorEastAsia" w:cs="Arial" w:hint="eastAsia"/>
          <w:color w:val="333333"/>
          <w:sz w:val="21"/>
          <w:szCs w:val="21"/>
        </w:rPr>
        <w:t>个月后限时饮食组的肝内脂肪含量较基线下降了</w:t>
      </w:r>
      <w:r w:rsidRPr="007B248D">
        <w:rPr>
          <w:rFonts w:asciiTheme="minorEastAsia" w:eastAsiaTheme="minorEastAsia" w:hAnsiTheme="minorEastAsia" w:cs="Arial"/>
          <w:color w:val="333333"/>
          <w:sz w:val="21"/>
          <w:szCs w:val="21"/>
        </w:rPr>
        <w:t>8.3%</w:t>
      </w:r>
      <w:r w:rsidRPr="007B248D">
        <w:rPr>
          <w:rFonts w:asciiTheme="minorEastAsia" w:eastAsiaTheme="minorEastAsia" w:hAnsiTheme="minorEastAsia" w:cs="Arial" w:hint="eastAsia"/>
          <w:color w:val="333333"/>
          <w:sz w:val="21"/>
          <w:szCs w:val="21"/>
        </w:rPr>
        <w:t>（</w:t>
      </w:r>
      <w:r w:rsidRPr="007B248D">
        <w:rPr>
          <w:rFonts w:asciiTheme="minorEastAsia" w:eastAsiaTheme="minorEastAsia" w:hAnsiTheme="minorEastAsia" w:cs="Arial"/>
          <w:color w:val="333333"/>
          <w:sz w:val="21"/>
          <w:szCs w:val="21"/>
        </w:rPr>
        <w:t>95% CI</w:t>
      </w:r>
      <w:r w:rsidRPr="007B248D">
        <w:rPr>
          <w:rFonts w:asciiTheme="minorEastAsia" w:eastAsiaTheme="minorEastAsia" w:hAnsiTheme="minorEastAsia" w:cs="Arial" w:hint="eastAsia"/>
          <w:color w:val="333333"/>
          <w:sz w:val="21"/>
          <w:szCs w:val="21"/>
        </w:rPr>
        <w:t>，</w:t>
      </w:r>
      <w:r w:rsidRPr="007B248D">
        <w:rPr>
          <w:rFonts w:asciiTheme="minorEastAsia" w:eastAsia="微软雅黑" w:hAnsi="微软雅黑" w:cs="Arial" w:hint="eastAsia"/>
          <w:color w:val="333333"/>
          <w:sz w:val="21"/>
          <w:szCs w:val="21"/>
        </w:rPr>
        <w:t>−</w:t>
      </w:r>
      <w:r w:rsidRPr="007B248D">
        <w:rPr>
          <w:rFonts w:asciiTheme="minorEastAsia" w:eastAsiaTheme="minorEastAsia" w:hAnsiTheme="minorEastAsia" w:cs="Arial" w:hint="eastAsia"/>
          <w:color w:val="333333"/>
          <w:sz w:val="21"/>
          <w:szCs w:val="21"/>
        </w:rPr>
        <w:t>10.0%至</w:t>
      </w:r>
      <w:r w:rsidRPr="007B248D">
        <w:rPr>
          <w:rFonts w:asciiTheme="minorEastAsia" w:eastAsia="微软雅黑" w:hAnsi="微软雅黑" w:cs="Arial" w:hint="eastAsia"/>
          <w:color w:val="333333"/>
          <w:sz w:val="21"/>
          <w:szCs w:val="21"/>
        </w:rPr>
        <w:t>−</w:t>
      </w:r>
      <w:r w:rsidRPr="007B248D">
        <w:rPr>
          <w:rFonts w:asciiTheme="minorEastAsia" w:eastAsiaTheme="minorEastAsia" w:hAnsiTheme="minorEastAsia" w:cs="Arial" w:hint="eastAsia"/>
          <w:color w:val="333333"/>
          <w:sz w:val="21"/>
          <w:szCs w:val="21"/>
        </w:rPr>
        <w:t>6.6%），常规能量限制组的肝内脂肪含量较基线下降了</w:t>
      </w:r>
      <w:r w:rsidRPr="007B248D">
        <w:rPr>
          <w:rFonts w:asciiTheme="minorEastAsia" w:eastAsiaTheme="minorEastAsia" w:hAnsiTheme="minorEastAsia" w:cs="Arial"/>
          <w:color w:val="333333"/>
          <w:sz w:val="21"/>
          <w:szCs w:val="21"/>
        </w:rPr>
        <w:t>8.1%</w:t>
      </w:r>
      <w:r w:rsidRPr="007B248D">
        <w:rPr>
          <w:rFonts w:asciiTheme="minorEastAsia" w:eastAsiaTheme="minorEastAsia" w:hAnsiTheme="minorEastAsia" w:cs="Arial" w:hint="eastAsia"/>
          <w:color w:val="333333"/>
          <w:sz w:val="21"/>
          <w:szCs w:val="21"/>
        </w:rPr>
        <w:t>（</w:t>
      </w:r>
      <w:r w:rsidRPr="007B248D">
        <w:rPr>
          <w:rFonts w:asciiTheme="minorEastAsia" w:eastAsiaTheme="minorEastAsia" w:hAnsiTheme="minorEastAsia" w:cs="Arial"/>
          <w:color w:val="333333"/>
          <w:sz w:val="21"/>
          <w:szCs w:val="21"/>
        </w:rPr>
        <w:t>95% CI</w:t>
      </w:r>
      <w:r w:rsidRPr="007B248D">
        <w:rPr>
          <w:rFonts w:asciiTheme="minorEastAsia" w:eastAsiaTheme="minorEastAsia" w:hAnsiTheme="minorEastAsia" w:cs="Arial" w:hint="eastAsia"/>
          <w:color w:val="333333"/>
          <w:sz w:val="21"/>
          <w:szCs w:val="21"/>
        </w:rPr>
        <w:t>，</w:t>
      </w:r>
      <w:r w:rsidRPr="007B248D">
        <w:rPr>
          <w:rFonts w:asciiTheme="minorEastAsia" w:eastAsia="微软雅黑" w:hAnsi="微软雅黑" w:cs="Arial" w:hint="eastAsia"/>
          <w:color w:val="333333"/>
          <w:sz w:val="21"/>
          <w:szCs w:val="21"/>
        </w:rPr>
        <w:t>−</w:t>
      </w:r>
      <w:r w:rsidRPr="007B248D">
        <w:rPr>
          <w:rFonts w:asciiTheme="minorEastAsia" w:eastAsiaTheme="minorEastAsia" w:hAnsiTheme="minorEastAsia" w:cs="Arial" w:hint="eastAsia"/>
          <w:color w:val="333333"/>
          <w:sz w:val="21"/>
          <w:szCs w:val="21"/>
        </w:rPr>
        <w:t>9.8%至</w:t>
      </w:r>
      <w:r w:rsidRPr="007B248D">
        <w:rPr>
          <w:rFonts w:asciiTheme="minorEastAsia" w:eastAsia="微软雅黑" w:hAnsi="微软雅黑" w:cs="Arial" w:hint="eastAsia"/>
          <w:color w:val="333333"/>
          <w:sz w:val="21"/>
          <w:szCs w:val="21"/>
        </w:rPr>
        <w:t>−</w:t>
      </w:r>
      <w:r w:rsidRPr="007B248D">
        <w:rPr>
          <w:rFonts w:asciiTheme="minorEastAsia" w:eastAsiaTheme="minorEastAsia" w:hAnsiTheme="minorEastAsia" w:cs="Arial" w:hint="eastAsia"/>
          <w:color w:val="333333"/>
          <w:sz w:val="21"/>
          <w:szCs w:val="21"/>
        </w:rPr>
        <w:t>6.4%）。而在干预</w:t>
      </w:r>
      <w:r w:rsidRPr="007B248D">
        <w:rPr>
          <w:rFonts w:asciiTheme="minorEastAsia" w:eastAsiaTheme="minorEastAsia" w:hAnsiTheme="minorEastAsia" w:cs="Arial"/>
          <w:color w:val="333333"/>
          <w:sz w:val="21"/>
          <w:szCs w:val="21"/>
        </w:rPr>
        <w:t>12</w:t>
      </w:r>
      <w:r w:rsidRPr="007B248D">
        <w:rPr>
          <w:rFonts w:asciiTheme="minorEastAsia" w:eastAsiaTheme="minorEastAsia" w:hAnsiTheme="minorEastAsia" w:cs="Arial" w:hint="eastAsia"/>
          <w:color w:val="333333"/>
          <w:sz w:val="21"/>
          <w:szCs w:val="21"/>
        </w:rPr>
        <w:t>个月的评估中，限时饮食组的肝内脂肪含量较基线下降了</w:t>
      </w:r>
      <w:r w:rsidRPr="007B248D">
        <w:rPr>
          <w:rFonts w:asciiTheme="minorEastAsia" w:eastAsiaTheme="minorEastAsia" w:hAnsiTheme="minorEastAsia" w:cs="Arial"/>
          <w:color w:val="333333"/>
          <w:sz w:val="21"/>
          <w:szCs w:val="21"/>
        </w:rPr>
        <w:t>6.9%</w:t>
      </w:r>
      <w:r w:rsidRPr="007B248D">
        <w:rPr>
          <w:rFonts w:asciiTheme="minorEastAsia" w:eastAsiaTheme="minorEastAsia" w:hAnsiTheme="minorEastAsia" w:cs="Arial" w:hint="eastAsia"/>
          <w:color w:val="333333"/>
          <w:sz w:val="21"/>
          <w:szCs w:val="21"/>
        </w:rPr>
        <w:t>（</w:t>
      </w:r>
      <w:r w:rsidRPr="007B248D">
        <w:rPr>
          <w:rFonts w:asciiTheme="minorEastAsia" w:eastAsiaTheme="minorEastAsia" w:hAnsiTheme="minorEastAsia" w:cs="Arial"/>
          <w:color w:val="333333"/>
          <w:sz w:val="21"/>
          <w:szCs w:val="21"/>
        </w:rPr>
        <w:t>95% CI</w:t>
      </w:r>
      <w:r w:rsidRPr="007B248D">
        <w:rPr>
          <w:rFonts w:asciiTheme="minorEastAsia" w:eastAsiaTheme="minorEastAsia" w:hAnsiTheme="minorEastAsia" w:cs="Arial" w:hint="eastAsia"/>
          <w:color w:val="333333"/>
          <w:sz w:val="21"/>
          <w:szCs w:val="21"/>
        </w:rPr>
        <w:t>，</w:t>
      </w:r>
      <w:r w:rsidRPr="007B248D">
        <w:rPr>
          <w:rFonts w:asciiTheme="minorEastAsia" w:eastAsia="微软雅黑" w:hAnsi="微软雅黑" w:cs="Arial" w:hint="eastAsia"/>
          <w:color w:val="333333"/>
          <w:sz w:val="21"/>
          <w:szCs w:val="21"/>
        </w:rPr>
        <w:t>−</w:t>
      </w:r>
      <w:r w:rsidRPr="007B248D">
        <w:rPr>
          <w:rFonts w:asciiTheme="minorEastAsia" w:eastAsiaTheme="minorEastAsia" w:hAnsiTheme="minorEastAsia" w:cs="Arial" w:hint="eastAsia"/>
          <w:color w:val="333333"/>
          <w:sz w:val="21"/>
          <w:szCs w:val="21"/>
        </w:rPr>
        <w:t>8.8%至</w:t>
      </w:r>
      <w:r w:rsidRPr="007B248D">
        <w:rPr>
          <w:rFonts w:asciiTheme="minorEastAsia" w:eastAsia="微软雅黑" w:hAnsi="微软雅黑" w:cs="Arial" w:hint="eastAsia"/>
          <w:color w:val="333333"/>
          <w:sz w:val="21"/>
          <w:szCs w:val="21"/>
        </w:rPr>
        <w:t>−</w:t>
      </w:r>
      <w:r w:rsidRPr="007B248D">
        <w:rPr>
          <w:rFonts w:asciiTheme="minorEastAsia" w:eastAsiaTheme="minorEastAsia" w:hAnsiTheme="minorEastAsia" w:cs="Arial" w:hint="eastAsia"/>
          <w:color w:val="333333"/>
          <w:sz w:val="21"/>
          <w:szCs w:val="21"/>
        </w:rPr>
        <w:t>5.1%），而常规能量限制组的肝内脂肪含量较基线下降了</w:t>
      </w:r>
      <w:r w:rsidRPr="007B248D">
        <w:rPr>
          <w:rFonts w:asciiTheme="minorEastAsia" w:eastAsiaTheme="minorEastAsia" w:hAnsiTheme="minorEastAsia" w:cs="Arial"/>
          <w:color w:val="333333"/>
          <w:sz w:val="21"/>
          <w:szCs w:val="21"/>
        </w:rPr>
        <w:t>7.9%</w:t>
      </w:r>
      <w:r w:rsidRPr="007B248D">
        <w:rPr>
          <w:rFonts w:asciiTheme="minorEastAsia" w:eastAsiaTheme="minorEastAsia" w:hAnsiTheme="minorEastAsia" w:cs="Arial" w:hint="eastAsia"/>
          <w:color w:val="333333"/>
          <w:sz w:val="21"/>
          <w:szCs w:val="21"/>
        </w:rPr>
        <w:t>（</w:t>
      </w:r>
      <w:r w:rsidRPr="007B248D">
        <w:rPr>
          <w:rFonts w:asciiTheme="minorEastAsia" w:eastAsiaTheme="minorEastAsia" w:hAnsiTheme="minorEastAsia" w:cs="Arial"/>
          <w:color w:val="333333"/>
          <w:sz w:val="21"/>
          <w:szCs w:val="21"/>
        </w:rPr>
        <w:t>95% CI</w:t>
      </w:r>
      <w:r w:rsidRPr="007B248D">
        <w:rPr>
          <w:rFonts w:asciiTheme="minorEastAsia" w:eastAsiaTheme="minorEastAsia" w:hAnsiTheme="minorEastAsia" w:cs="Arial" w:hint="eastAsia"/>
          <w:color w:val="333333"/>
          <w:sz w:val="21"/>
          <w:szCs w:val="21"/>
        </w:rPr>
        <w:t>，</w:t>
      </w:r>
      <w:r w:rsidRPr="007B248D">
        <w:rPr>
          <w:rFonts w:asciiTheme="minorEastAsia" w:eastAsia="微软雅黑" w:hAnsi="微软雅黑" w:cs="Arial" w:hint="eastAsia"/>
          <w:color w:val="333333"/>
          <w:sz w:val="21"/>
          <w:szCs w:val="21"/>
        </w:rPr>
        <w:t>−</w:t>
      </w:r>
      <w:r w:rsidRPr="007B248D">
        <w:rPr>
          <w:rFonts w:asciiTheme="minorEastAsia" w:eastAsiaTheme="minorEastAsia" w:hAnsiTheme="minorEastAsia" w:cs="Arial" w:hint="eastAsia"/>
          <w:color w:val="333333"/>
          <w:sz w:val="21"/>
          <w:szCs w:val="21"/>
        </w:rPr>
        <w:t>9.7%至</w:t>
      </w:r>
      <w:r w:rsidRPr="007B248D">
        <w:rPr>
          <w:rFonts w:asciiTheme="minorEastAsia" w:eastAsia="微软雅黑" w:hAnsi="微软雅黑" w:cs="Arial" w:hint="eastAsia"/>
          <w:color w:val="333333"/>
          <w:sz w:val="21"/>
          <w:szCs w:val="21"/>
        </w:rPr>
        <w:t>−</w:t>
      </w:r>
      <w:r w:rsidRPr="007B248D">
        <w:rPr>
          <w:rFonts w:asciiTheme="minorEastAsia" w:eastAsiaTheme="minorEastAsia" w:hAnsiTheme="minorEastAsia" w:cs="Arial" w:hint="eastAsia"/>
          <w:color w:val="333333"/>
          <w:sz w:val="21"/>
          <w:szCs w:val="21"/>
        </w:rPr>
        <w:t>6.2%）。两组在</w:t>
      </w:r>
      <w:r w:rsidRPr="007B248D">
        <w:rPr>
          <w:rFonts w:asciiTheme="minorEastAsia" w:eastAsiaTheme="minorEastAsia" w:hAnsiTheme="minorEastAsia" w:cs="Arial"/>
          <w:color w:val="333333"/>
          <w:sz w:val="21"/>
          <w:szCs w:val="21"/>
        </w:rPr>
        <w:t>6</w:t>
      </w:r>
      <w:r w:rsidRPr="007B248D">
        <w:rPr>
          <w:rFonts w:asciiTheme="minorEastAsia" w:eastAsiaTheme="minorEastAsia" w:hAnsiTheme="minorEastAsia" w:cs="Arial" w:hint="eastAsia"/>
          <w:color w:val="333333"/>
          <w:sz w:val="21"/>
          <w:szCs w:val="21"/>
        </w:rPr>
        <w:t>个月（差异：</w:t>
      </w:r>
      <w:r w:rsidRPr="007B248D">
        <w:rPr>
          <w:rFonts w:asciiTheme="minorEastAsia" w:eastAsia="微软雅黑" w:hAnsi="微软雅黑" w:cs="Arial" w:hint="eastAsia"/>
          <w:color w:val="333333"/>
          <w:sz w:val="21"/>
          <w:szCs w:val="21"/>
        </w:rPr>
        <w:t>−</w:t>
      </w:r>
      <w:r w:rsidRPr="007B248D">
        <w:rPr>
          <w:rFonts w:asciiTheme="minorEastAsia" w:eastAsiaTheme="minorEastAsia" w:hAnsiTheme="minorEastAsia" w:cs="Arial" w:hint="eastAsia"/>
          <w:color w:val="333333"/>
          <w:sz w:val="21"/>
          <w:szCs w:val="21"/>
        </w:rPr>
        <w:t>0.2；</w:t>
      </w:r>
      <w:r w:rsidRPr="007B248D">
        <w:rPr>
          <w:rFonts w:asciiTheme="minorEastAsia" w:eastAsiaTheme="minorEastAsia" w:hAnsiTheme="minorEastAsia" w:cs="Arial"/>
          <w:color w:val="333333"/>
          <w:sz w:val="21"/>
          <w:szCs w:val="21"/>
        </w:rPr>
        <w:t>95%CI</w:t>
      </w:r>
      <w:r w:rsidRPr="007B248D">
        <w:rPr>
          <w:rFonts w:asciiTheme="minorEastAsia" w:eastAsiaTheme="minorEastAsia" w:hAnsiTheme="minorEastAsia" w:cs="Arial" w:hint="eastAsia"/>
          <w:color w:val="333333"/>
          <w:sz w:val="21"/>
          <w:szCs w:val="21"/>
        </w:rPr>
        <w:t>，</w:t>
      </w:r>
      <w:r w:rsidRPr="007B248D">
        <w:rPr>
          <w:rFonts w:asciiTheme="minorEastAsia" w:eastAsia="微软雅黑" w:hAnsi="微软雅黑" w:cs="Arial" w:hint="eastAsia"/>
          <w:color w:val="333333"/>
          <w:sz w:val="21"/>
          <w:szCs w:val="21"/>
        </w:rPr>
        <w:t>−</w:t>
      </w:r>
      <w:r w:rsidRPr="007B248D">
        <w:rPr>
          <w:rFonts w:asciiTheme="minorEastAsia" w:eastAsiaTheme="minorEastAsia" w:hAnsiTheme="minorEastAsia" w:cs="Arial" w:hint="eastAsia"/>
          <w:color w:val="333333"/>
          <w:sz w:val="21"/>
          <w:szCs w:val="21"/>
        </w:rPr>
        <w:t>2.7 to 2.2；</w:t>
      </w:r>
      <w:r w:rsidRPr="007B248D">
        <w:rPr>
          <w:rFonts w:asciiTheme="minorEastAsia" w:eastAsiaTheme="minorEastAsia" w:hAnsiTheme="minorEastAsia" w:cs="Arial"/>
          <w:color w:val="333333"/>
          <w:sz w:val="21"/>
          <w:szCs w:val="21"/>
        </w:rPr>
        <w:t>P = 0.86) </w:t>
      </w:r>
      <w:r w:rsidRPr="007B248D">
        <w:rPr>
          <w:rFonts w:asciiTheme="minorEastAsia" w:eastAsiaTheme="minorEastAsia" w:hAnsiTheme="minorEastAsia" w:cs="Arial" w:hint="eastAsia"/>
          <w:color w:val="333333"/>
          <w:sz w:val="21"/>
          <w:szCs w:val="21"/>
        </w:rPr>
        <w:t>和</w:t>
      </w:r>
      <w:r w:rsidRPr="007B248D">
        <w:rPr>
          <w:rFonts w:asciiTheme="minorEastAsia" w:eastAsiaTheme="minorEastAsia" w:hAnsiTheme="minorEastAsia" w:cs="Arial"/>
          <w:color w:val="333333"/>
          <w:sz w:val="21"/>
          <w:szCs w:val="21"/>
        </w:rPr>
        <w:t>12</w:t>
      </w:r>
      <w:r w:rsidRPr="007B248D">
        <w:rPr>
          <w:rFonts w:asciiTheme="minorEastAsia" w:eastAsiaTheme="minorEastAsia" w:hAnsiTheme="minorEastAsia" w:cs="Arial" w:hint="eastAsia"/>
          <w:color w:val="333333"/>
          <w:sz w:val="21"/>
          <w:szCs w:val="21"/>
        </w:rPr>
        <w:t>个月（差异：</w:t>
      </w:r>
      <w:r w:rsidRPr="007B248D">
        <w:rPr>
          <w:rFonts w:asciiTheme="minorEastAsia" w:eastAsiaTheme="minorEastAsia" w:hAnsiTheme="minorEastAsia" w:cs="Arial"/>
          <w:color w:val="333333"/>
          <w:sz w:val="21"/>
          <w:szCs w:val="21"/>
        </w:rPr>
        <w:t>1.0</w:t>
      </w:r>
      <w:r w:rsidRPr="007B248D">
        <w:rPr>
          <w:rFonts w:asciiTheme="minorEastAsia" w:eastAsiaTheme="minorEastAsia" w:hAnsiTheme="minorEastAsia" w:cs="Arial" w:hint="eastAsia"/>
          <w:color w:val="333333"/>
          <w:sz w:val="21"/>
          <w:szCs w:val="21"/>
        </w:rPr>
        <w:t>；</w:t>
      </w:r>
      <w:r w:rsidRPr="007B248D">
        <w:rPr>
          <w:rFonts w:asciiTheme="minorEastAsia" w:eastAsiaTheme="minorEastAsia" w:hAnsiTheme="minorEastAsia" w:cs="Arial"/>
          <w:color w:val="333333"/>
          <w:sz w:val="21"/>
          <w:szCs w:val="21"/>
        </w:rPr>
        <w:t>95%CI</w:t>
      </w:r>
      <w:r w:rsidRPr="007B248D">
        <w:rPr>
          <w:rFonts w:asciiTheme="minorEastAsia" w:eastAsiaTheme="minorEastAsia" w:hAnsiTheme="minorEastAsia" w:cs="Arial" w:hint="eastAsia"/>
          <w:color w:val="333333"/>
          <w:sz w:val="21"/>
          <w:szCs w:val="21"/>
        </w:rPr>
        <w:t>，</w:t>
      </w:r>
      <w:r w:rsidRPr="007B248D">
        <w:rPr>
          <w:rFonts w:asciiTheme="minorEastAsia" w:eastAsia="微软雅黑" w:hAnsi="微软雅黑" w:cs="Arial" w:hint="eastAsia"/>
          <w:color w:val="333333"/>
          <w:sz w:val="21"/>
          <w:szCs w:val="21"/>
        </w:rPr>
        <w:t>−</w:t>
      </w:r>
      <w:r w:rsidRPr="007B248D">
        <w:rPr>
          <w:rFonts w:asciiTheme="minorEastAsia" w:eastAsiaTheme="minorEastAsia" w:hAnsiTheme="minorEastAsia" w:cs="Arial" w:hint="eastAsia"/>
          <w:color w:val="333333"/>
          <w:sz w:val="21"/>
          <w:szCs w:val="21"/>
        </w:rPr>
        <w:t>1.6 to 3.5；</w:t>
      </w:r>
      <w:r w:rsidRPr="007B248D">
        <w:rPr>
          <w:rFonts w:asciiTheme="minorEastAsia" w:eastAsiaTheme="minorEastAsia" w:hAnsiTheme="minorEastAsia" w:cs="Arial"/>
          <w:color w:val="333333"/>
          <w:sz w:val="21"/>
          <w:szCs w:val="21"/>
        </w:rPr>
        <w:t>P = 0.45) </w:t>
      </w:r>
      <w:r w:rsidRPr="007B248D">
        <w:rPr>
          <w:rFonts w:asciiTheme="minorEastAsia" w:eastAsiaTheme="minorEastAsia" w:hAnsiTheme="minorEastAsia" w:cs="Arial" w:hint="eastAsia"/>
          <w:color w:val="333333"/>
          <w:sz w:val="21"/>
          <w:szCs w:val="21"/>
        </w:rPr>
        <w:t>时肝内脂肪含量的变化具有可比性。此外，两组患者的肝脏硬度、体重、体脂和代谢危险因素较基线均显著降低。在试验期间无死亡或严重不良事件的发生。研究结果表明，在患有</w:t>
      </w:r>
      <w:r w:rsidRPr="007B248D">
        <w:rPr>
          <w:rFonts w:asciiTheme="minorEastAsia" w:eastAsiaTheme="minorEastAsia" w:hAnsiTheme="minorEastAsia" w:cs="Arial"/>
          <w:color w:val="333333"/>
          <w:sz w:val="21"/>
          <w:szCs w:val="21"/>
        </w:rPr>
        <w:t>NAFLD</w:t>
      </w:r>
      <w:r w:rsidRPr="007B248D">
        <w:rPr>
          <w:rFonts w:asciiTheme="minorEastAsia" w:eastAsiaTheme="minorEastAsia" w:hAnsiTheme="minorEastAsia" w:cs="Arial" w:hint="eastAsia"/>
          <w:color w:val="333333"/>
          <w:sz w:val="21"/>
          <w:szCs w:val="21"/>
        </w:rPr>
        <w:t>的肥胖成人中，限时饮食和常规能量限制均能显著降低肝内脂肪含量和改善代谢紊乱；与常规能量限制相比，限时饮食在降低肝内脂肪含量、肝脏硬度、体重、体脂和代谢危险因素方面没有产生额外的益处，并强调在坚持限时饮食方案治疗</w:t>
      </w:r>
      <w:r w:rsidRPr="007B248D">
        <w:rPr>
          <w:rFonts w:asciiTheme="minorEastAsia" w:eastAsiaTheme="minorEastAsia" w:hAnsiTheme="minorEastAsia" w:cs="Arial"/>
          <w:color w:val="333333"/>
          <w:sz w:val="21"/>
          <w:szCs w:val="21"/>
        </w:rPr>
        <w:t>NAFLD</w:t>
      </w:r>
      <w:r w:rsidRPr="007B248D">
        <w:rPr>
          <w:rFonts w:asciiTheme="minorEastAsia" w:eastAsiaTheme="minorEastAsia" w:hAnsiTheme="minorEastAsia" w:cs="Arial" w:hint="eastAsia"/>
          <w:color w:val="333333"/>
          <w:sz w:val="21"/>
          <w:szCs w:val="21"/>
        </w:rPr>
        <w:t>的同时限制热量摄入的重要性。</w:t>
      </w:r>
    </w:p>
    <w:p w:rsidR="007B248D" w:rsidRPr="007B248D" w:rsidRDefault="007B248D" w:rsidP="007B248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248D">
        <w:rPr>
          <w:rFonts w:asciiTheme="minorEastAsia" w:eastAsiaTheme="minorEastAsia" w:hAnsiTheme="minorEastAsia" w:cs="Arial" w:hint="eastAsia"/>
          <w:color w:val="333333"/>
          <w:sz w:val="21"/>
          <w:szCs w:val="21"/>
        </w:rPr>
        <w:t>TREATY-FLD研究充分论证了坚持限时饮食的减重策略对NAFLD肥胖患者肝内脂肪含量的长期影响，并在国际上首次证实坚持限时饮食是NAFLD的重要管理手段，为NAFLD患者饮食干预的临床实践提供了创新性的临床证据，具有重大的临床价值。</w:t>
      </w:r>
    </w:p>
    <w:p w:rsidR="007B248D" w:rsidRPr="007B248D" w:rsidRDefault="007B248D" w:rsidP="007B248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248D">
        <w:rPr>
          <w:rFonts w:asciiTheme="minorEastAsia" w:eastAsiaTheme="minorEastAsia" w:hAnsiTheme="minorEastAsia" w:cs="Arial" w:hint="eastAsia"/>
          <w:color w:val="333333"/>
          <w:sz w:val="21"/>
          <w:szCs w:val="21"/>
        </w:rPr>
        <w:t>南方医科大学南方医院为本文第一署名单位，南方医院内分泌代谢科张惠杰教授和医学影像中心许乙凯教授为本文的通讯作者。</w:t>
      </w:r>
    </w:p>
    <w:p w:rsidR="007B248D" w:rsidRPr="007B248D" w:rsidRDefault="007B248D" w:rsidP="007B248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r w:rsidRPr="007B248D">
        <w:rPr>
          <w:rFonts w:asciiTheme="minorEastAsia" w:eastAsiaTheme="minorEastAsia" w:hAnsiTheme="minorEastAsia" w:cs="Arial" w:hint="eastAsia"/>
          <w:color w:val="333333"/>
          <w:sz w:val="21"/>
          <w:szCs w:val="21"/>
        </w:rPr>
        <w:t>原文链接：</w:t>
      </w:r>
    </w:p>
    <w:p w:rsidR="007B248D" w:rsidRPr="007B248D" w:rsidRDefault="007B248D" w:rsidP="007B248D">
      <w:pPr>
        <w:pStyle w:val="a7"/>
        <w:adjustRightInd w:val="0"/>
        <w:snapToGrid w:val="0"/>
        <w:spacing w:before="0" w:beforeAutospacing="0" w:after="0" w:afterAutospacing="0" w:line="360" w:lineRule="auto"/>
        <w:ind w:firstLine="420"/>
        <w:rPr>
          <w:rFonts w:asciiTheme="minorEastAsia" w:eastAsiaTheme="minorEastAsia" w:hAnsiTheme="minorEastAsia" w:hint="eastAsia"/>
          <w:color w:val="333333"/>
          <w:sz w:val="21"/>
          <w:szCs w:val="21"/>
        </w:rPr>
      </w:pPr>
      <w:hyperlink r:id="rId7" w:history="1">
        <w:r w:rsidRPr="007B248D">
          <w:rPr>
            <w:rStyle w:val="a4"/>
            <w:rFonts w:asciiTheme="minorEastAsia" w:eastAsiaTheme="minorEastAsia" w:hAnsiTheme="minorEastAsia" w:cs="Arial" w:hint="eastAsia"/>
            <w:color w:val="333333"/>
            <w:sz w:val="21"/>
            <w:szCs w:val="21"/>
          </w:rPr>
          <w:t>https://jamanetwork.com/journals/jamanetworkopen/fullarticle/2802553</w:t>
        </w:r>
      </w:hyperlink>
    </w:p>
    <w:p w:rsidR="007B248D" w:rsidRPr="007B248D" w:rsidRDefault="007B248D" w:rsidP="007B248D">
      <w:pPr>
        <w:pStyle w:val="a7"/>
        <w:adjustRightInd w:val="0"/>
        <w:snapToGrid w:val="0"/>
        <w:spacing w:before="0" w:beforeAutospacing="0" w:after="0" w:afterAutospacing="0" w:line="360" w:lineRule="auto"/>
        <w:ind w:firstLine="390"/>
        <w:rPr>
          <w:rFonts w:asciiTheme="minorEastAsia" w:eastAsiaTheme="minorEastAsia" w:hAnsiTheme="minorEastAsia" w:hint="eastAsia"/>
          <w:color w:val="333333"/>
          <w:sz w:val="21"/>
          <w:szCs w:val="21"/>
        </w:rPr>
      </w:pPr>
      <w:r w:rsidRPr="007B248D">
        <w:rPr>
          <w:rFonts w:asciiTheme="minorEastAsia" w:eastAsiaTheme="minorEastAsia" w:hAnsiTheme="minorEastAsia" w:cs="Arial" w:hint="eastAsia"/>
          <w:color w:val="333333"/>
          <w:sz w:val="21"/>
          <w:szCs w:val="21"/>
        </w:rPr>
        <w:t>摘引网址：</w:t>
      </w:r>
      <w:hyperlink r:id="rId8" w:history="1">
        <w:r w:rsidRPr="007B248D">
          <w:rPr>
            <w:rStyle w:val="a4"/>
            <w:rFonts w:asciiTheme="minorEastAsia" w:eastAsiaTheme="minorEastAsia" w:hAnsiTheme="minorEastAsia" w:cs="Arial" w:hint="eastAsia"/>
            <w:color w:val="333333"/>
            <w:sz w:val="21"/>
            <w:szCs w:val="21"/>
          </w:rPr>
          <w:t>https://news.bioon.com/article/2006e6358009.html</w:t>
        </w:r>
      </w:hyperlink>
    </w:p>
    <w:p w:rsidR="007B248D" w:rsidRDefault="007B248D" w:rsidP="00E0302F">
      <w:pPr>
        <w:pStyle w:val="a7"/>
        <w:adjustRightInd w:val="0"/>
        <w:snapToGrid w:val="0"/>
        <w:spacing w:before="0" w:beforeAutospacing="0" w:after="0" w:afterAutospacing="0" w:line="360" w:lineRule="auto"/>
        <w:jc w:val="center"/>
        <w:rPr>
          <w:rFonts w:ascii="黑体" w:eastAsia="黑体" w:hint="eastAsia"/>
          <w:color w:val="000000" w:themeColor="text1"/>
          <w:sz w:val="28"/>
          <w:szCs w:val="28"/>
        </w:rPr>
      </w:pPr>
    </w:p>
    <w:p w:rsidR="007B248D" w:rsidRPr="007B248D" w:rsidRDefault="007B248D" w:rsidP="00E0302F">
      <w:pPr>
        <w:pStyle w:val="a7"/>
        <w:adjustRightInd w:val="0"/>
        <w:snapToGrid w:val="0"/>
        <w:spacing w:before="0" w:beforeAutospacing="0" w:after="0" w:afterAutospacing="0" w:line="360" w:lineRule="auto"/>
        <w:jc w:val="center"/>
        <w:rPr>
          <w:rFonts w:ascii="黑体" w:eastAsia="黑体"/>
          <w:color w:val="000000" w:themeColor="text1"/>
          <w:sz w:val="28"/>
          <w:szCs w:val="28"/>
        </w:rPr>
      </w:pPr>
    </w:p>
    <w:sectPr w:rsidR="007B248D" w:rsidRPr="007B248D"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6947" w:rsidRDefault="008D6947" w:rsidP="003C6FFE">
      <w:r>
        <w:separator/>
      </w:r>
    </w:p>
  </w:endnote>
  <w:endnote w:type="continuationSeparator" w:id="1">
    <w:p w:rsidR="008D6947" w:rsidRDefault="008D6947"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1F7D14" w:rsidP="002F2290">
        <w:pPr>
          <w:pStyle w:val="a3"/>
          <w:jc w:val="center"/>
        </w:pPr>
        <w:r>
          <w:fldChar w:fldCharType="begin"/>
        </w:r>
        <w:r w:rsidR="00726786">
          <w:instrText xml:space="preserve"> PAGE   \* MERGEFORMAT </w:instrText>
        </w:r>
        <w:r>
          <w:fldChar w:fldCharType="separate"/>
        </w:r>
        <w:r w:rsidR="00D26E66" w:rsidRPr="00D26E66">
          <w:rPr>
            <w:noProof/>
            <w:lang w:val="zh-CN"/>
          </w:rPr>
          <w:t>2</w:t>
        </w:r>
        <w:r>
          <w:fldChar w:fldCharType="end"/>
        </w:r>
      </w:p>
    </w:sdtContent>
  </w:sdt>
  <w:p w:rsidR="002F2290" w:rsidRDefault="008D6947">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6947" w:rsidRDefault="008D6947" w:rsidP="003C6FFE">
      <w:r>
        <w:separator/>
      </w:r>
    </w:p>
  </w:footnote>
  <w:footnote w:type="continuationSeparator" w:id="1">
    <w:p w:rsidR="008D6947" w:rsidRDefault="008D6947"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037C23"/>
    <w:rsid w:val="000A2242"/>
    <w:rsid w:val="000C2BC9"/>
    <w:rsid w:val="00100759"/>
    <w:rsid w:val="001428DD"/>
    <w:rsid w:val="0015344F"/>
    <w:rsid w:val="001A11A0"/>
    <w:rsid w:val="001B3B90"/>
    <w:rsid w:val="001C19E3"/>
    <w:rsid w:val="001E6BD4"/>
    <w:rsid w:val="001F7D14"/>
    <w:rsid w:val="002270A5"/>
    <w:rsid w:val="00251D95"/>
    <w:rsid w:val="002578F8"/>
    <w:rsid w:val="002A284F"/>
    <w:rsid w:val="002B2B0A"/>
    <w:rsid w:val="002E5E98"/>
    <w:rsid w:val="00361836"/>
    <w:rsid w:val="003A2C3D"/>
    <w:rsid w:val="003A3475"/>
    <w:rsid w:val="003C6FFE"/>
    <w:rsid w:val="00420B43"/>
    <w:rsid w:val="0043442B"/>
    <w:rsid w:val="00457831"/>
    <w:rsid w:val="0049345A"/>
    <w:rsid w:val="004B7CC3"/>
    <w:rsid w:val="004D12A3"/>
    <w:rsid w:val="005963E2"/>
    <w:rsid w:val="00596768"/>
    <w:rsid w:val="005F0E31"/>
    <w:rsid w:val="005F641C"/>
    <w:rsid w:val="0060638A"/>
    <w:rsid w:val="006B7438"/>
    <w:rsid w:val="006B7D3C"/>
    <w:rsid w:val="007179D6"/>
    <w:rsid w:val="00726786"/>
    <w:rsid w:val="0077189D"/>
    <w:rsid w:val="007B248D"/>
    <w:rsid w:val="007C5DFF"/>
    <w:rsid w:val="00815E71"/>
    <w:rsid w:val="008D6947"/>
    <w:rsid w:val="008F6471"/>
    <w:rsid w:val="009116B1"/>
    <w:rsid w:val="00927108"/>
    <w:rsid w:val="00935F62"/>
    <w:rsid w:val="009573A7"/>
    <w:rsid w:val="009B55F1"/>
    <w:rsid w:val="009D3FE9"/>
    <w:rsid w:val="00A11314"/>
    <w:rsid w:val="00A37B02"/>
    <w:rsid w:val="00A52526"/>
    <w:rsid w:val="00B9703D"/>
    <w:rsid w:val="00BB7308"/>
    <w:rsid w:val="00BD3F55"/>
    <w:rsid w:val="00BF5C4B"/>
    <w:rsid w:val="00C179B1"/>
    <w:rsid w:val="00C500D7"/>
    <w:rsid w:val="00C51691"/>
    <w:rsid w:val="00C56048"/>
    <w:rsid w:val="00C83C16"/>
    <w:rsid w:val="00C97D29"/>
    <w:rsid w:val="00CA5296"/>
    <w:rsid w:val="00CF245C"/>
    <w:rsid w:val="00D26E66"/>
    <w:rsid w:val="00D5385B"/>
    <w:rsid w:val="00D641D2"/>
    <w:rsid w:val="00DA03DE"/>
    <w:rsid w:val="00E0302F"/>
    <w:rsid w:val="00E1158F"/>
    <w:rsid w:val="00E76545"/>
    <w:rsid w:val="00EA22B1"/>
    <w:rsid w:val="00EA69C8"/>
    <w:rsid w:val="00ED6611"/>
    <w:rsid w:val="00EF6B08"/>
    <w:rsid w:val="00FE1C8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1C19E3"/>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D26E66"/>
    <w:pPr>
      <w:tabs>
        <w:tab w:val="right" w:leader="dot" w:pos="8834"/>
      </w:tabs>
      <w:adjustRightInd w:val="0"/>
      <w:snapToGrid w:val="0"/>
      <w:spacing w:line="360" w:lineRule="auto"/>
      <w:jc w:val="left"/>
    </w:pPr>
    <w:rPr>
      <w:rFonts w:ascii="宋体" w:eastAsia="宋体" w:hAnsi="宋体"/>
      <w:b/>
      <w:color w:val="000000" w:themeColor="text1"/>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 w:type="paragraph" w:styleId="a7">
    <w:name w:val="Normal (Web)"/>
    <w:basedOn w:val="a"/>
    <w:uiPriority w:val="99"/>
    <w:unhideWhenUsed/>
    <w:rsid w:val="000C2BC9"/>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semiHidden/>
    <w:rsid w:val="001C19E3"/>
    <w:rPr>
      <w:rFonts w:asciiTheme="majorHAnsi" w:eastAsiaTheme="majorEastAsia" w:hAnsiTheme="majorHAnsi" w:cstheme="majorBidi"/>
      <w:b/>
      <w:bCs/>
      <w:szCs w:val="32"/>
    </w:rPr>
  </w:style>
</w:styles>
</file>

<file path=word/webSettings.xml><?xml version="1.0" encoding="utf-8"?>
<w:webSettings xmlns:r="http://schemas.openxmlformats.org/officeDocument/2006/relationships" xmlns:w="http://schemas.openxmlformats.org/wordprocessingml/2006/main">
  <w:divs>
    <w:div w:id="32728224">
      <w:bodyDiv w:val="1"/>
      <w:marLeft w:val="0"/>
      <w:marRight w:val="0"/>
      <w:marTop w:val="0"/>
      <w:marBottom w:val="0"/>
      <w:divBdr>
        <w:top w:val="none" w:sz="0" w:space="0" w:color="auto"/>
        <w:left w:val="none" w:sz="0" w:space="0" w:color="auto"/>
        <w:bottom w:val="none" w:sz="0" w:space="0" w:color="auto"/>
        <w:right w:val="none" w:sz="0" w:space="0" w:color="auto"/>
      </w:divBdr>
    </w:div>
    <w:div w:id="131752608">
      <w:bodyDiv w:val="1"/>
      <w:marLeft w:val="0"/>
      <w:marRight w:val="0"/>
      <w:marTop w:val="0"/>
      <w:marBottom w:val="0"/>
      <w:divBdr>
        <w:top w:val="none" w:sz="0" w:space="0" w:color="auto"/>
        <w:left w:val="none" w:sz="0" w:space="0" w:color="auto"/>
        <w:bottom w:val="none" w:sz="0" w:space="0" w:color="auto"/>
        <w:right w:val="none" w:sz="0" w:space="0" w:color="auto"/>
      </w:divBdr>
    </w:div>
    <w:div w:id="200244717">
      <w:bodyDiv w:val="1"/>
      <w:marLeft w:val="0"/>
      <w:marRight w:val="0"/>
      <w:marTop w:val="0"/>
      <w:marBottom w:val="0"/>
      <w:divBdr>
        <w:top w:val="none" w:sz="0" w:space="0" w:color="auto"/>
        <w:left w:val="none" w:sz="0" w:space="0" w:color="auto"/>
        <w:bottom w:val="none" w:sz="0" w:space="0" w:color="auto"/>
        <w:right w:val="none" w:sz="0" w:space="0" w:color="auto"/>
      </w:divBdr>
    </w:div>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22642963">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04968499">
      <w:bodyDiv w:val="1"/>
      <w:marLeft w:val="0"/>
      <w:marRight w:val="0"/>
      <w:marTop w:val="0"/>
      <w:marBottom w:val="0"/>
      <w:divBdr>
        <w:top w:val="none" w:sz="0" w:space="0" w:color="auto"/>
        <w:left w:val="none" w:sz="0" w:space="0" w:color="auto"/>
        <w:bottom w:val="none" w:sz="0" w:space="0" w:color="auto"/>
        <w:right w:val="none" w:sz="0" w:space="0" w:color="auto"/>
      </w:divBdr>
    </w:div>
    <w:div w:id="359202819">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459080909">
      <w:bodyDiv w:val="1"/>
      <w:marLeft w:val="0"/>
      <w:marRight w:val="0"/>
      <w:marTop w:val="0"/>
      <w:marBottom w:val="0"/>
      <w:divBdr>
        <w:top w:val="none" w:sz="0" w:space="0" w:color="auto"/>
        <w:left w:val="none" w:sz="0" w:space="0" w:color="auto"/>
        <w:bottom w:val="none" w:sz="0" w:space="0" w:color="auto"/>
        <w:right w:val="none" w:sz="0" w:space="0" w:color="auto"/>
      </w:divBdr>
    </w:div>
    <w:div w:id="548155450">
      <w:bodyDiv w:val="1"/>
      <w:marLeft w:val="0"/>
      <w:marRight w:val="0"/>
      <w:marTop w:val="0"/>
      <w:marBottom w:val="0"/>
      <w:divBdr>
        <w:top w:val="none" w:sz="0" w:space="0" w:color="auto"/>
        <w:left w:val="none" w:sz="0" w:space="0" w:color="auto"/>
        <w:bottom w:val="none" w:sz="0" w:space="0" w:color="auto"/>
        <w:right w:val="none" w:sz="0" w:space="0" w:color="auto"/>
      </w:divBdr>
    </w:div>
    <w:div w:id="622006510">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76615963">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6150378">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40099384">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01387348">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910577499">
      <w:bodyDiv w:val="1"/>
      <w:marLeft w:val="0"/>
      <w:marRight w:val="0"/>
      <w:marTop w:val="0"/>
      <w:marBottom w:val="0"/>
      <w:divBdr>
        <w:top w:val="none" w:sz="0" w:space="0" w:color="auto"/>
        <w:left w:val="none" w:sz="0" w:space="0" w:color="auto"/>
        <w:bottom w:val="none" w:sz="0" w:space="0" w:color="auto"/>
        <w:right w:val="none" w:sz="0" w:space="0" w:color="auto"/>
      </w:divBdr>
    </w:div>
    <w:div w:id="924189751">
      <w:bodyDiv w:val="1"/>
      <w:marLeft w:val="0"/>
      <w:marRight w:val="0"/>
      <w:marTop w:val="0"/>
      <w:marBottom w:val="0"/>
      <w:divBdr>
        <w:top w:val="none" w:sz="0" w:space="0" w:color="auto"/>
        <w:left w:val="none" w:sz="0" w:space="0" w:color="auto"/>
        <w:bottom w:val="none" w:sz="0" w:space="0" w:color="auto"/>
        <w:right w:val="none" w:sz="0" w:space="0" w:color="auto"/>
      </w:divBdr>
    </w:div>
    <w:div w:id="941260473">
      <w:bodyDiv w:val="1"/>
      <w:marLeft w:val="0"/>
      <w:marRight w:val="0"/>
      <w:marTop w:val="0"/>
      <w:marBottom w:val="0"/>
      <w:divBdr>
        <w:top w:val="none" w:sz="0" w:space="0" w:color="auto"/>
        <w:left w:val="none" w:sz="0" w:space="0" w:color="auto"/>
        <w:bottom w:val="none" w:sz="0" w:space="0" w:color="auto"/>
        <w:right w:val="none" w:sz="0" w:space="0" w:color="auto"/>
      </w:divBdr>
    </w:div>
    <w:div w:id="1028019840">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30766050">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093286384">
      <w:bodyDiv w:val="1"/>
      <w:marLeft w:val="0"/>
      <w:marRight w:val="0"/>
      <w:marTop w:val="0"/>
      <w:marBottom w:val="0"/>
      <w:divBdr>
        <w:top w:val="none" w:sz="0" w:space="0" w:color="auto"/>
        <w:left w:val="none" w:sz="0" w:space="0" w:color="auto"/>
        <w:bottom w:val="none" w:sz="0" w:space="0" w:color="auto"/>
        <w:right w:val="none" w:sz="0" w:space="0" w:color="auto"/>
      </w:divBdr>
    </w:div>
    <w:div w:id="1238788426">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85979243">
      <w:bodyDiv w:val="1"/>
      <w:marLeft w:val="0"/>
      <w:marRight w:val="0"/>
      <w:marTop w:val="0"/>
      <w:marBottom w:val="0"/>
      <w:divBdr>
        <w:top w:val="none" w:sz="0" w:space="0" w:color="auto"/>
        <w:left w:val="none" w:sz="0" w:space="0" w:color="auto"/>
        <w:bottom w:val="none" w:sz="0" w:space="0" w:color="auto"/>
        <w:right w:val="none" w:sz="0" w:space="0" w:color="auto"/>
      </w:divBdr>
    </w:div>
    <w:div w:id="1710644725">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75416487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99847779">
      <w:bodyDiv w:val="1"/>
      <w:marLeft w:val="0"/>
      <w:marRight w:val="0"/>
      <w:marTop w:val="0"/>
      <w:marBottom w:val="0"/>
      <w:divBdr>
        <w:top w:val="none" w:sz="0" w:space="0" w:color="auto"/>
        <w:left w:val="none" w:sz="0" w:space="0" w:color="auto"/>
        <w:bottom w:val="none" w:sz="0" w:space="0" w:color="auto"/>
        <w:right w:val="none" w:sz="0" w:space="0" w:color="auto"/>
      </w:divBdr>
    </w:div>
    <w:div w:id="2061443494">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 w:id="2089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bioon.com/article/2006e6358009.html" TargetMode="External"/><Relationship Id="rId3" Type="http://schemas.openxmlformats.org/officeDocument/2006/relationships/settings" Target="settings.xml"/><Relationship Id="rId7" Type="http://schemas.openxmlformats.org/officeDocument/2006/relationships/hyperlink" Target="https://jamanetwork.com/journals/jamanetworkopen/fullarticle/280255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C9865-5034-469E-AA8A-0C91BB0DE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1042</Words>
  <Characters>5943</Characters>
  <Application>Microsoft Office Word</Application>
  <DocSecurity>0</DocSecurity>
  <Lines>49</Lines>
  <Paragraphs>13</Paragraphs>
  <ScaleCrop>false</ScaleCrop>
  <Company>Microsoft</Company>
  <LinksUpToDate>false</LinksUpToDate>
  <CharactersWithSpaces>6972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5</cp:revision>
  <cp:lastPrinted>2023-03-02T02:30:00Z</cp:lastPrinted>
  <dcterms:created xsi:type="dcterms:W3CDTF">2023-03-28T05:46:00Z</dcterms:created>
  <dcterms:modified xsi:type="dcterms:W3CDTF">2023-03-28T05:57:00Z</dcterms:modified>
</cp:coreProperties>
</file>