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6B7568" w:rsidP="00726786">
      <w:pPr>
        <w:adjustRightInd w:val="0"/>
        <w:snapToGrid w:val="0"/>
        <w:spacing w:line="360" w:lineRule="auto"/>
        <w:jc w:val="left"/>
        <w:rPr>
          <w:rFonts w:asciiTheme="minorEastAsia" w:hAnsiTheme="minorEastAsia"/>
          <w:color w:val="000000" w:themeColor="text1"/>
          <w:sz w:val="24"/>
          <w:szCs w:val="24"/>
        </w:rPr>
      </w:pPr>
      <w:r w:rsidRPr="006B7568">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A11314">
        <w:rPr>
          <w:rFonts w:asciiTheme="minorEastAsia" w:hAnsiTheme="minorEastAsia" w:hint="eastAsia"/>
          <w:color w:val="000000" w:themeColor="text1"/>
          <w:sz w:val="24"/>
          <w:szCs w:val="24"/>
        </w:rPr>
        <w:t>1</w:t>
      </w:r>
      <w:r w:rsidR="002769C3">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0E15D1">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月</w:t>
      </w:r>
      <w:r w:rsidR="002769C3">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日-</w:t>
      </w:r>
      <w:r w:rsidR="00D9480C">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月</w:t>
      </w:r>
      <w:r w:rsidR="002769C3">
        <w:rPr>
          <w:rFonts w:asciiTheme="minorEastAsia" w:hAnsiTheme="minorEastAsia" w:hint="eastAsia"/>
          <w:color w:val="000000" w:themeColor="text1"/>
          <w:sz w:val="24"/>
          <w:szCs w:val="24"/>
        </w:rPr>
        <w:t>16</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253E7F" w:rsidRDefault="006B7568">
      <w:pPr>
        <w:pStyle w:val="10"/>
        <w:rPr>
          <w:rFonts w:asciiTheme="minorHAnsi" w:eastAsiaTheme="minorEastAsia" w:hAnsiTheme="minorHAnsi"/>
          <w:b w:val="0"/>
          <w:noProof/>
          <w:color w:val="auto"/>
          <w:sz w:val="21"/>
          <w:szCs w:val="22"/>
          <w:shd w:val="clear" w:color="auto" w:fill="auto"/>
        </w:rPr>
      </w:pPr>
      <w:r w:rsidRPr="006B7568">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6B7568">
        <w:rPr>
          <w:rFonts w:hAnsiTheme="minorHAnsi"/>
        </w:rPr>
        <w:fldChar w:fldCharType="separate"/>
      </w:r>
      <w:hyperlink w:anchor="_Toc134085501" w:history="1">
        <w:r w:rsidR="00253E7F" w:rsidRPr="001D5CFB">
          <w:rPr>
            <w:rStyle w:val="a4"/>
            <w:rFonts w:hint="eastAsia"/>
            <w:bCs/>
            <w:noProof/>
          </w:rPr>
          <w:t>全国新型冠状病毒感染疫情情况</w:t>
        </w:r>
        <w:r w:rsidR="00253E7F">
          <w:rPr>
            <w:noProof/>
            <w:webHidden/>
          </w:rPr>
          <w:tab/>
        </w:r>
        <w:r w:rsidR="00253E7F">
          <w:rPr>
            <w:noProof/>
            <w:webHidden/>
          </w:rPr>
          <w:fldChar w:fldCharType="begin"/>
        </w:r>
        <w:r w:rsidR="00253E7F">
          <w:rPr>
            <w:noProof/>
            <w:webHidden/>
          </w:rPr>
          <w:instrText xml:space="preserve"> PAGEREF _Toc134085501 \h </w:instrText>
        </w:r>
        <w:r w:rsidR="00253E7F">
          <w:rPr>
            <w:noProof/>
            <w:webHidden/>
          </w:rPr>
        </w:r>
        <w:r w:rsidR="00253E7F">
          <w:rPr>
            <w:noProof/>
            <w:webHidden/>
          </w:rPr>
          <w:fldChar w:fldCharType="separate"/>
        </w:r>
        <w:r w:rsidR="00253E7F">
          <w:rPr>
            <w:noProof/>
            <w:webHidden/>
          </w:rPr>
          <w:t>1</w:t>
        </w:r>
        <w:r w:rsidR="00253E7F">
          <w:rPr>
            <w:noProof/>
            <w:webHidden/>
          </w:rPr>
          <w:fldChar w:fldCharType="end"/>
        </w:r>
      </w:hyperlink>
    </w:p>
    <w:p w:rsidR="00253E7F" w:rsidRDefault="00253E7F">
      <w:pPr>
        <w:pStyle w:val="10"/>
        <w:rPr>
          <w:rFonts w:asciiTheme="minorHAnsi" w:eastAsiaTheme="minorEastAsia" w:hAnsiTheme="minorHAnsi"/>
          <w:b w:val="0"/>
          <w:noProof/>
          <w:color w:val="auto"/>
          <w:sz w:val="21"/>
          <w:szCs w:val="22"/>
          <w:shd w:val="clear" w:color="auto" w:fill="auto"/>
        </w:rPr>
      </w:pPr>
      <w:hyperlink w:anchor="_Toc134085502" w:history="1">
        <w:r w:rsidRPr="001D5CFB">
          <w:rPr>
            <w:rStyle w:val="a4"/>
            <w:rFonts w:hint="eastAsia"/>
            <w:bCs/>
            <w:noProof/>
          </w:rPr>
          <w:t>“变形金刚”抗生素可对抗致命感染</w:t>
        </w:r>
        <w:r>
          <w:rPr>
            <w:noProof/>
            <w:webHidden/>
          </w:rPr>
          <w:tab/>
        </w:r>
        <w:r>
          <w:rPr>
            <w:noProof/>
            <w:webHidden/>
          </w:rPr>
          <w:fldChar w:fldCharType="begin"/>
        </w:r>
        <w:r>
          <w:rPr>
            <w:noProof/>
            <w:webHidden/>
          </w:rPr>
          <w:instrText xml:space="preserve"> PAGEREF _Toc134085502 \h </w:instrText>
        </w:r>
        <w:r>
          <w:rPr>
            <w:noProof/>
            <w:webHidden/>
          </w:rPr>
        </w:r>
        <w:r>
          <w:rPr>
            <w:noProof/>
            <w:webHidden/>
          </w:rPr>
          <w:fldChar w:fldCharType="separate"/>
        </w:r>
        <w:r>
          <w:rPr>
            <w:noProof/>
            <w:webHidden/>
          </w:rPr>
          <w:t>5</w:t>
        </w:r>
        <w:r>
          <w:rPr>
            <w:noProof/>
            <w:webHidden/>
          </w:rPr>
          <w:fldChar w:fldCharType="end"/>
        </w:r>
      </w:hyperlink>
    </w:p>
    <w:p w:rsidR="00253E7F" w:rsidRDefault="00253E7F">
      <w:pPr>
        <w:pStyle w:val="10"/>
        <w:rPr>
          <w:rFonts w:asciiTheme="minorHAnsi" w:eastAsiaTheme="minorEastAsia" w:hAnsiTheme="minorHAnsi"/>
          <w:b w:val="0"/>
          <w:noProof/>
          <w:color w:val="auto"/>
          <w:sz w:val="21"/>
          <w:szCs w:val="22"/>
          <w:shd w:val="clear" w:color="auto" w:fill="auto"/>
        </w:rPr>
      </w:pPr>
      <w:hyperlink w:anchor="_Toc134085503" w:history="1">
        <w:r w:rsidRPr="001D5CFB">
          <w:rPr>
            <w:rStyle w:val="a4"/>
            <w:bCs/>
            <w:noProof/>
          </w:rPr>
          <w:t>2023</w:t>
        </w:r>
        <w:r w:rsidRPr="001D5CFB">
          <w:rPr>
            <w:rStyle w:val="a4"/>
            <w:rFonts w:hint="eastAsia"/>
            <w:bCs/>
            <w:noProof/>
          </w:rPr>
          <w:t>年《职业病防治法》宣传周活动将开启</w:t>
        </w:r>
        <w:r>
          <w:rPr>
            <w:noProof/>
            <w:webHidden/>
          </w:rPr>
          <w:tab/>
        </w:r>
        <w:r>
          <w:rPr>
            <w:noProof/>
            <w:webHidden/>
          </w:rPr>
          <w:fldChar w:fldCharType="begin"/>
        </w:r>
        <w:r>
          <w:rPr>
            <w:noProof/>
            <w:webHidden/>
          </w:rPr>
          <w:instrText xml:space="preserve"> PAGEREF _Toc134085503 \h </w:instrText>
        </w:r>
        <w:r>
          <w:rPr>
            <w:noProof/>
            <w:webHidden/>
          </w:rPr>
        </w:r>
        <w:r>
          <w:rPr>
            <w:noProof/>
            <w:webHidden/>
          </w:rPr>
          <w:fldChar w:fldCharType="separate"/>
        </w:r>
        <w:r>
          <w:rPr>
            <w:noProof/>
            <w:webHidden/>
          </w:rPr>
          <w:t>6</w:t>
        </w:r>
        <w:r>
          <w:rPr>
            <w:noProof/>
            <w:webHidden/>
          </w:rPr>
          <w:fldChar w:fldCharType="end"/>
        </w:r>
      </w:hyperlink>
    </w:p>
    <w:p w:rsidR="00253E7F" w:rsidRDefault="00253E7F">
      <w:pPr>
        <w:pStyle w:val="10"/>
        <w:rPr>
          <w:rFonts w:asciiTheme="minorHAnsi" w:eastAsiaTheme="minorEastAsia" w:hAnsiTheme="minorHAnsi"/>
          <w:b w:val="0"/>
          <w:noProof/>
          <w:color w:val="auto"/>
          <w:sz w:val="21"/>
          <w:szCs w:val="22"/>
          <w:shd w:val="clear" w:color="auto" w:fill="auto"/>
        </w:rPr>
      </w:pPr>
      <w:hyperlink w:anchor="_Toc134085504" w:history="1">
        <w:r w:rsidRPr="001D5CFB">
          <w:rPr>
            <w:rStyle w:val="a4"/>
            <w:rFonts w:hint="eastAsia"/>
            <w:bCs/>
            <w:noProof/>
          </w:rPr>
          <w:t>国新办发布会介绍我国新冠溯源研究情况——在科学轨道上开展新冠溯源研究工作</w:t>
        </w:r>
        <w:r>
          <w:rPr>
            <w:noProof/>
            <w:webHidden/>
          </w:rPr>
          <w:tab/>
        </w:r>
        <w:r>
          <w:rPr>
            <w:noProof/>
            <w:webHidden/>
          </w:rPr>
          <w:fldChar w:fldCharType="begin"/>
        </w:r>
        <w:r>
          <w:rPr>
            <w:noProof/>
            <w:webHidden/>
          </w:rPr>
          <w:instrText xml:space="preserve"> PAGEREF _Toc134085504 \h </w:instrText>
        </w:r>
        <w:r>
          <w:rPr>
            <w:noProof/>
            <w:webHidden/>
          </w:rPr>
        </w:r>
        <w:r>
          <w:rPr>
            <w:noProof/>
            <w:webHidden/>
          </w:rPr>
          <w:fldChar w:fldCharType="separate"/>
        </w:r>
        <w:r>
          <w:rPr>
            <w:noProof/>
            <w:webHidden/>
          </w:rPr>
          <w:t>6</w:t>
        </w:r>
        <w:r>
          <w:rPr>
            <w:noProof/>
            <w:webHidden/>
          </w:rPr>
          <w:fldChar w:fldCharType="end"/>
        </w:r>
      </w:hyperlink>
    </w:p>
    <w:p w:rsidR="00253E7F" w:rsidRDefault="00253E7F">
      <w:pPr>
        <w:pStyle w:val="10"/>
        <w:rPr>
          <w:rFonts w:asciiTheme="minorHAnsi" w:eastAsiaTheme="minorEastAsia" w:hAnsiTheme="minorHAnsi"/>
          <w:b w:val="0"/>
          <w:noProof/>
          <w:color w:val="auto"/>
          <w:sz w:val="21"/>
          <w:szCs w:val="22"/>
          <w:shd w:val="clear" w:color="auto" w:fill="auto"/>
        </w:rPr>
      </w:pPr>
      <w:hyperlink w:anchor="_Toc134085505" w:history="1">
        <w:r w:rsidRPr="001D5CFB">
          <w:rPr>
            <w:rStyle w:val="a4"/>
            <w:rFonts w:hint="eastAsia"/>
            <w:bCs/>
            <w:noProof/>
          </w:rPr>
          <w:t>当前哪些人群需接种疫苗？最新新冠疫苗接种工作方案发布</w:t>
        </w:r>
        <w:r>
          <w:rPr>
            <w:noProof/>
            <w:webHidden/>
          </w:rPr>
          <w:tab/>
        </w:r>
        <w:r>
          <w:rPr>
            <w:noProof/>
            <w:webHidden/>
          </w:rPr>
          <w:fldChar w:fldCharType="begin"/>
        </w:r>
        <w:r>
          <w:rPr>
            <w:noProof/>
            <w:webHidden/>
          </w:rPr>
          <w:instrText xml:space="preserve"> PAGEREF _Toc134085505 \h </w:instrText>
        </w:r>
        <w:r>
          <w:rPr>
            <w:noProof/>
            <w:webHidden/>
          </w:rPr>
        </w:r>
        <w:r>
          <w:rPr>
            <w:noProof/>
            <w:webHidden/>
          </w:rPr>
          <w:fldChar w:fldCharType="separate"/>
        </w:r>
        <w:r>
          <w:rPr>
            <w:noProof/>
            <w:webHidden/>
          </w:rPr>
          <w:t>8</w:t>
        </w:r>
        <w:r>
          <w:rPr>
            <w:noProof/>
            <w:webHidden/>
          </w:rPr>
          <w:fldChar w:fldCharType="end"/>
        </w:r>
      </w:hyperlink>
    </w:p>
    <w:p w:rsidR="0067503F" w:rsidRDefault="006B7568" w:rsidP="002769C3">
      <w:pPr>
        <w:pStyle w:val="a7"/>
        <w:adjustRightInd w:val="0"/>
        <w:snapToGrid w:val="0"/>
        <w:spacing w:before="0" w:beforeAutospacing="0" w:after="0" w:afterAutospacing="0" w:line="360" w:lineRule="auto"/>
        <w:jc w:val="center"/>
        <w:rPr>
          <w:rFonts w:ascii="黑体" w:eastAsia="黑体" w:hint="eastAsia"/>
          <w:color w:val="000000" w:themeColor="text1"/>
        </w:rPr>
      </w:pPr>
      <w:r w:rsidRPr="001C19E3">
        <w:rPr>
          <w:rFonts w:ascii="黑体" w:eastAsia="黑体"/>
          <w:color w:val="000000" w:themeColor="text1"/>
        </w:rPr>
        <w:fldChar w:fldCharType="end"/>
      </w:r>
    </w:p>
    <w:p w:rsidR="00253E7F" w:rsidRPr="00253E7F" w:rsidRDefault="00253E7F" w:rsidP="00253E7F">
      <w:pPr>
        <w:pStyle w:val="a7"/>
        <w:adjustRightInd w:val="0"/>
        <w:snapToGrid w:val="0"/>
        <w:spacing w:before="0" w:beforeAutospacing="0" w:after="0" w:afterAutospacing="0" w:line="360" w:lineRule="auto"/>
        <w:outlineLvl w:val="0"/>
        <w:rPr>
          <w:color w:val="333333"/>
        </w:rPr>
      </w:pPr>
      <w:bookmarkStart w:id="0" w:name="_Toc134085501"/>
      <w:r w:rsidRPr="00253E7F">
        <w:rPr>
          <w:rFonts w:hint="eastAsia"/>
          <w:b/>
          <w:bCs/>
          <w:color w:val="333333"/>
        </w:rPr>
        <w:t>全国新型冠状病毒感染疫情情况</w:t>
      </w:r>
      <w:bookmarkEnd w:id="0"/>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(2023-04-15    中国疾病预防控制中心)</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一、感染监测数据</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（一）全国报告人群新冠病毒核酸检测结果。</w:t>
      </w:r>
      <w:r w:rsidRPr="00253E7F">
        <w:rPr>
          <w:rFonts w:eastAsia="MS Gothic" w:hAnsi="MS Gothic" w:cs="MS Gothic" w:hint="eastAsia"/>
          <w:color w:val="333333"/>
        </w:rPr>
        <w:t> </w:t>
      </w:r>
      <w:r w:rsidRPr="00253E7F">
        <w:rPr>
          <w:rFonts w:eastAsia="MS Gothic" w:hAnsi="MS Gothic" w:cs="MS Gothic" w:hint="eastAsia"/>
          <w:color w:val="333333"/>
        </w:rPr>
        <w:t> </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12月9日以来，各省份报告人群新冠病毒核酸检测阳性数及阳性率呈现先增加后降低趋势，阳性人数12月22日达到高峰（694万）后波动下降，2023年4月13日降至2036；检测阳性率2022年12月25日达高峰（29.2%）后波动下降，2023年4月13日为1.3%（图1-1）。</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（二）全国报告人群新冠病毒抗原检测结果。</w:t>
      </w:r>
      <w:r w:rsidRPr="00253E7F">
        <w:rPr>
          <w:rFonts w:eastAsia="MS Gothic" w:hAnsi="MS Gothic" w:cs="MS Gothic" w:hint="eastAsia"/>
          <w:color w:val="333333"/>
        </w:rPr>
        <w:t> </w:t>
      </w:r>
      <w:r w:rsidRPr="00253E7F">
        <w:rPr>
          <w:rFonts w:eastAsia="MS Gothic" w:hAnsi="MS Gothic" w:cs="MS Gothic" w:hint="eastAsia"/>
          <w:color w:val="333333"/>
        </w:rPr>
        <w:t> </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各省份报告新冠病毒抗原检测量呈现波动减少趋势，从</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2022年12月19日的最高189万波动下降到4月13日的2.0万。新冠病毒抗原检测阳性数及阳性率自2022年12月9日快速上升，12月22日达高峰（33.7万、21.3%）后波动下降，2023年4月13日阳性数降至66（阳性率为0.3%）（图1-2）。</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二、全国发热门诊（诊室）诊疗情况</w:t>
      </w:r>
      <w:r w:rsidRPr="00253E7F">
        <w:rPr>
          <w:rFonts w:eastAsia="MS Gothic" w:hAnsi="MS Gothic" w:cs="MS Gothic" w:hint="eastAsia"/>
          <w:color w:val="333333"/>
        </w:rPr>
        <w:t> </w:t>
      </w:r>
      <w:r w:rsidRPr="00253E7F">
        <w:rPr>
          <w:rFonts w:eastAsia="MS Gothic" w:hAnsi="MS Gothic" w:cs="MS Gothic" w:hint="eastAsia"/>
          <w:color w:val="333333"/>
        </w:rPr>
        <w:t> </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（一）总体就诊人数结果。全国（不含港澳台）发热门诊（诊室）就诊人数于</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12月23日达到峰值286.7万人次，随后连续下降；2023年1月23日后就诊人数呈现低位波动,约6周（2月24日-4月6日）的波动增加及平台波动后，近1周开始呈现下降趋势，4月13日为30.1万人次,较峰值下降了89.5%（图2-1）。</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lastRenderedPageBreak/>
        <w:t>（二）农村发热门诊（诊室）就诊人数结果。全国乡镇卫生院发热诊室就诊人数于</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2022年12月23日达到峰值92.2万人次，随后波动下降；2023年1月23日后呈现低位波动，约6周（2月24日-4月6日）的波动增加后，近1周开始呈下降趋势，4月13日为9.4万人次，较峰值下降了89.8%（图2-2）。</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（三）城市发热门诊就诊人数结果。全国二级以上医疗机构和城市社区卫生服务中心发热门诊（诊室）就诊人数于</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2022年12月22日达到峰值195.4万人次，随后连续下降；1月23日后呈低位波动，约6周（2月24日-4月6日）的波动增加及平台波动后，近1周开始呈现下降趋势，4月13日为20.6万人次，较峰值下降了89.5%（图2-3）。</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（四）哨点医院监测结果。</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9月-12月上旬，全国流感哨点医院每周流感样病例（体温≥38℃，伴咳嗽或咽痛之一）数量稳定在10万左右，流感样病例占门（急）诊就诊人数比值在2.7%-3.6%区间波动。第50周（12月12日-18日）明显上升至8.5%，第51周达到最高12.1%，第52周起快速下降。2023年第7周（2月13-19日）流感样病例占比（1.8%）开始呈现增加趋势，第10周达阶段高峰（9.1%）后开始持续下降，第14周（4月3日-4月9日）流感样病例占比为7.3%。（图2-4）。</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第49周（12月9日），流感样病例新冠病毒阳性率开始逐渐增加，在第51和52周期间达峰值后持续下降，2023年第7周（2月13日-19日）新冠病毒阳性率下降至3.4%后小幅反弹（第8周新冠病毒阳性率为5.1%）；第9-11周新冠病毒阳性率持续下降（阳性率分别为3.8%、2.7%、1.9%），第12-13周（阳性率分别为2.3%、2.6%）略有反弹，第14周（4月3日-9日）新冠病毒阳性率与前一周持平（2.6%）。2022年第49周以来，流感病毒阳性率则逐步降低，12月下旬至2月初处于极低水平（低于1.0%）；2023年第6周（2月6日-12日）以来流感病毒阳性率持续上升，第10周（3月6日-12日，阳性率为53.2%）后上升趋势明显趋缓，第12周（3月20日-26日，阳性率为55.5%）达阶段高峰后开始下降，第14周（4月3日-9日）流感病毒阳性率为44.4%（图2-5）。</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三、住院诊疗情况</w:t>
      </w:r>
      <w:r w:rsidRPr="00253E7F">
        <w:rPr>
          <w:rFonts w:eastAsia="MS Gothic" w:hAnsi="MS Gothic" w:cs="MS Gothic" w:hint="eastAsia"/>
          <w:color w:val="333333"/>
        </w:rPr>
        <w:t> </w:t>
      </w:r>
      <w:r w:rsidRPr="00253E7F">
        <w:rPr>
          <w:rFonts w:eastAsia="MS Gothic" w:hAnsi="MS Gothic" w:cs="MS Gothic" w:hint="eastAsia"/>
          <w:color w:val="333333"/>
        </w:rPr>
        <w:t> </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（一）在院新冠病毒感染者结果。全国在院新冠病毒感染者于</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2023年1月5日达到峰值162.5万人，随后持续下降；4月13日下降至3697，较峰值减少了99.8%（图3-1）。</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lastRenderedPageBreak/>
        <w:t>（二）在院新冠病毒感染阳性重症患者结果。全国在院新冠病毒感染者中，重症患者数量于</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2022年12月27日至2023年1月3日期间每日增量近1万，1月4日增量明显下降，1月5日达到峰值12.8万后持续下降，4月13日下降至5例（其中新冠病毒感染重症1例、基础性疾病重症合并新冠病毒感染4例）（图3-2）。</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（三）在院新冠病毒感染死亡情况。在院新冠病毒感染死亡病例数于</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1月4日达到每日峰值4273例，随后持续下降,4月13日为0例（图3-3）。4月7日至4月13日，31个省（自治区、直辖市）及新疆生产建设兵团医疗机构累计在院新冠病毒感染相关死亡病例0例。</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四、新冠病毒感染本土病例病毒变异监测情况</w:t>
      </w:r>
      <w:r w:rsidRPr="00253E7F">
        <w:rPr>
          <w:rFonts w:eastAsia="MS Gothic" w:hAnsi="MS Gothic" w:cs="MS Gothic" w:hint="eastAsia"/>
          <w:color w:val="333333"/>
        </w:rPr>
        <w:t> </w:t>
      </w:r>
      <w:r w:rsidRPr="00253E7F">
        <w:rPr>
          <w:rFonts w:eastAsia="MS Gothic" w:hAnsi="MS Gothic" w:cs="MS Gothic" w:hint="eastAsia"/>
          <w:color w:val="333333"/>
        </w:rPr>
        <w:t> </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（一）总体情况。</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9月26日至2023年4月13日，全国共报送40122例本土病例新冠病毒基因组有效序列，均为奥密克戎变异株，涵盖148个进化分支，主要流行株为BA.5.2及其亚分支（构成比67.0%）和BF.7及其亚分支（构成比29.5%）。其中，BA.5.2及其亚分支包括DY.2（16.6%）、DY.4（11.8%）、BA.5.2.48（11.4%）、BA.5.2.49（8.7%）、DY.1（8.4%）和DY.3（5.3%）等；BF.7及其亚分支包括BF.7.14（20.8%）、BF.7.14.1（3.0%）、BF.7.14.5（2.4%）、BF.7.14.4（2.0%）、BF.7.14.3（0.3%）、BF.7（0.3%）等。108个进化分支的构成比小于0.1%（共占1.0%）（图4-1）。</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（二）</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12月以来本土病例病毒变异株监测情况。2022年12月1日至2023年4月13日，全国共报送31434例本土病例新冠病毒基因组有效序列，均为奥密克戎变异株，涵盖106个进化分支。主要流行株为BA.5.2及其亚分支（构成比65.4%）和BF.7及其亚分支（构成比32.8%）等。其中，BA.5.2及其亚分支包括DY.2（19.2%）、DY.4（11.9%）、BA.5.2.48（11.6%）、DY.1（8.8%）、DY.3（5.8%）和BA.5.2.49（3.6%）等）；BF.7及其亚分支包括BF.7.14（22.2%）、BF.7.14.1（3.7%）、BF.7.14.5（2.9%）、BF.7.14.4（2.4%）、BF.7.14.3（0.4%）、BF.7.14.2（0.3%）等（表4-1）。共监测到本土重点关注变异株328例，其中，4例BQ.1、3例BQ.1.1、3例BQ.1.1.13、1例BQ.1.1.17、1例BQ.1.1.38、1例BQ.1.1.53、2例BQ.1.1.66、1例BQ.1.1.69、8例BQ.1.2、2例BQ.1.8、2例FB.1、1例DT.2、1例EA.1、1例CH.1.1、1例CH.1.1.1、1例CH.1.1.11、1例XBB、4例XBB.1、2例XBB.1.11.1、1例XBB.1.12、15例XBB.1.16、2例XBB.1.16.1、8例XBB.1.17.1、24例XBB.1.19.1、1例XBB.1.22、18例XBB.1.22.1、</w:t>
      </w:r>
      <w:r w:rsidRPr="00253E7F">
        <w:rPr>
          <w:rFonts w:hint="eastAsia"/>
          <w:color w:val="333333"/>
        </w:rPr>
        <w:lastRenderedPageBreak/>
        <w:t>1例XBB.1.23、4例XBB.1.24、1例XBB.1.4、50例XBB.1.5、6例XBB.1.5.12、6例XBB.1.5.23、21例XBB.1.5.24、1例XBB.1.5.36、1例XBB.1.5.5、2例XBB.1.5.7、2例XBB.1.9、84例XBB.1.9.1、21例XBB.1.9.2、1例XBB.1.9.5、4例XBB.2.3、1例XBB.2.3.2、1例XBB.2.4、2例XBB.3、1例EG.1、2例EL.1和7例EM.1。</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（三）新冠病毒变异分省份情况。总体来看，北京和内蒙古以</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BF.7及其亚分支为优势株；其它省份均以BA.5.2及其亚分支为优势株（图4-2）。</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注：根据</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2023年4月6日更新版Pangolin命名系统(version v4.2, pangolin-data version v1.19)划分进化分支。其中，部分BA.5.2.48被进一步细分为DY.1（BA.5.2.48.1）、DY.2（BA.5.2.48.2）、DY.3（BA.5.2.48.3）和DY.4（BA.5.2.48.4）等进化分支；部分BF.7.14被进一步细分为BF.7.14.1、BF.7.14.2、BF.7.14.3和BF.7.14.4等进化分支。</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五、新冠病毒疫苗接种进展</w:t>
      </w:r>
      <w:r w:rsidRPr="00253E7F">
        <w:rPr>
          <w:rFonts w:eastAsia="MS Gothic" w:hAnsi="MS Gothic" w:cs="MS Gothic" w:hint="eastAsia"/>
          <w:color w:val="333333"/>
        </w:rPr>
        <w:t> </w:t>
      </w:r>
      <w:r w:rsidRPr="00253E7F">
        <w:rPr>
          <w:rFonts w:eastAsia="MS Gothic" w:hAnsi="MS Gothic" w:cs="MS Gothic" w:hint="eastAsia"/>
          <w:color w:val="333333"/>
        </w:rPr>
        <w:t> </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截至</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2023年4月13日，31个省（自治区、直辖市）和新疆生产建设兵团累计报告接种新冠病毒疫苗349412.6万剂次（图5-1）。接种总人数131047.2万人，完成全程接种127707.1万人，完成第一剂次加强免疫接种82776.4万人。全人群第一剂次、全程接种覆盖比例分别达到93.0%和90.6%（图5-2）。60岁以上老年人累计报告接种新冠病毒疫苗68070.9万剂次，接种总人数24169.8万人，完成全程接种23035.6万人，完成第一剂次加强免疫接种19316.4万人。</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以</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2022年底全国老年人专项摸底调查人口数为基数统计，截至2023年4月13日，60岁以上老年人第一剂次接种覆盖人数占老年人群的96.1%，全程接种、第一剂次加强免疫接种人数分别占符合接种时间间隔老年人群的96.7%、92.6%（图5-3）。</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注：</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1.第一剂次接种率测算中分子为接种目前附条件上市或紧急使用新冠病毒疫苗至少1剂次的老年人群，分母为2022年12月10日各省上报的老年人摸底登记人口数。2.全程接种率测算中分子为接种灭活疫苗2剂次、腺病毒载体疫苗1剂次、重组蛋白疫苗3剂次的老年人群，分母为接种灭活疫苗1剂次、腺病毒载体疫苗1剂次和重组蛋白疫苗2剂次的老年人群，并且接种后间隔满28天（4周）。3.第一剂次加强免疫接种率测算分子为完成第一剂次加强免疫接种老年人群，分母为接种灭活疫苗2剂次、腺病毒载体疫苗1剂次的老年人群，且全程接种后间隔满3个月。（由于重组</w:t>
      </w:r>
      <w:r w:rsidRPr="00253E7F">
        <w:rPr>
          <w:rFonts w:hint="eastAsia"/>
          <w:color w:val="333333"/>
        </w:rPr>
        <w:lastRenderedPageBreak/>
        <w:t>蛋白疫苗实施加强免疫接种的时间短，接种3剂次重组蛋白疫苗人群目前未包括在分母中）。</w:t>
      </w:r>
    </w:p>
    <w:p w:rsidR="00253E7F" w:rsidRPr="00253E7F" w:rsidRDefault="00253E7F" w:rsidP="00253E7F">
      <w:pPr>
        <w:pStyle w:val="a7"/>
        <w:adjustRightInd w:val="0"/>
        <w:snapToGrid w:val="0"/>
        <w:spacing w:before="0" w:beforeAutospacing="0" w:after="0" w:afterAutospacing="0" w:line="360" w:lineRule="auto"/>
        <w:ind w:firstLine="390"/>
        <w:jc w:val="both"/>
        <w:rPr>
          <w:rFonts w:hint="eastAsia"/>
          <w:color w:val="333333"/>
        </w:rPr>
      </w:pPr>
      <w:r w:rsidRPr="00253E7F">
        <w:rPr>
          <w:rFonts w:hint="eastAsia"/>
          <w:color w:val="333333"/>
        </w:rPr>
        <w:t>摘引网址:</w:t>
      </w:r>
    </w:p>
    <w:p w:rsidR="00253E7F" w:rsidRPr="00253E7F" w:rsidRDefault="00253E7F" w:rsidP="00253E7F">
      <w:pPr>
        <w:pStyle w:val="a7"/>
        <w:adjustRightInd w:val="0"/>
        <w:snapToGrid w:val="0"/>
        <w:spacing w:before="0" w:beforeAutospacing="0" w:after="0" w:afterAutospacing="0" w:line="360" w:lineRule="auto"/>
        <w:ind w:firstLine="390"/>
        <w:jc w:val="both"/>
        <w:rPr>
          <w:rFonts w:hint="eastAsia"/>
          <w:color w:val="333333"/>
        </w:rPr>
      </w:pPr>
      <w:r w:rsidRPr="00253E7F">
        <w:rPr>
          <w:rFonts w:hint="eastAsia"/>
          <w:color w:val="333333"/>
        </w:rPr>
        <w:t> </w:t>
      </w:r>
      <w:hyperlink r:id="rId7" w:history="1">
        <w:r w:rsidRPr="00253E7F">
          <w:rPr>
            <w:rStyle w:val="a4"/>
            <w:rFonts w:hint="eastAsia"/>
            <w:color w:val="777777"/>
          </w:rPr>
          <w:t>https://www.chinacdc.cn/jkzt/crb/zl/szkb_11803/jszl_13141/202304/t202304</w:t>
        </w:r>
      </w:hyperlink>
    </w:p>
    <w:p w:rsidR="00253E7F" w:rsidRPr="00253E7F" w:rsidRDefault="00253E7F" w:rsidP="00253E7F">
      <w:pPr>
        <w:pStyle w:val="a7"/>
        <w:adjustRightInd w:val="0"/>
        <w:snapToGrid w:val="0"/>
        <w:spacing w:before="0" w:beforeAutospacing="0" w:after="0" w:afterAutospacing="0" w:line="360" w:lineRule="auto"/>
        <w:jc w:val="center"/>
        <w:rPr>
          <w:color w:val="333333"/>
        </w:rPr>
      </w:pPr>
    </w:p>
    <w:p w:rsidR="002769C3" w:rsidRPr="00253E7F" w:rsidRDefault="002769C3" w:rsidP="00253E7F">
      <w:pPr>
        <w:pStyle w:val="a7"/>
        <w:adjustRightInd w:val="0"/>
        <w:snapToGrid w:val="0"/>
        <w:spacing w:before="0" w:beforeAutospacing="0" w:after="0" w:afterAutospacing="0" w:line="360" w:lineRule="auto"/>
        <w:outlineLvl w:val="0"/>
        <w:rPr>
          <w:color w:val="333333"/>
        </w:rPr>
      </w:pPr>
      <w:bookmarkStart w:id="1" w:name="_Toc134085502"/>
      <w:r w:rsidRPr="00253E7F">
        <w:rPr>
          <w:rFonts w:hint="eastAsia"/>
          <w:b/>
          <w:bCs/>
          <w:color w:val="333333"/>
        </w:rPr>
        <w:t>“变形金刚”抗生素可对抗致命感染</w:t>
      </w:r>
      <w:bookmarkEnd w:id="1"/>
    </w:p>
    <w:p w:rsidR="002769C3" w:rsidRPr="00253E7F" w:rsidRDefault="002769C3"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(2023-04-08    科技日报)</w:t>
      </w:r>
    </w:p>
    <w:p w:rsidR="002769C3" w:rsidRPr="00253E7F" w:rsidRDefault="002769C3"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 </w:t>
      </w:r>
      <w:r w:rsidRPr="00253E7F">
        <w:rPr>
          <w:rFonts w:eastAsia="MS Gothic" w:hAnsi="MS Gothic" w:cs="MS Gothic" w:hint="eastAsia"/>
          <w:color w:val="333333"/>
        </w:rPr>
        <w:t> </w:t>
      </w:r>
      <w:r w:rsidRPr="00253E7F">
        <w:rPr>
          <w:rFonts w:hint="eastAsia"/>
          <w:color w:val="333333"/>
        </w:rPr>
        <w:t>  世界卫生组织将抗生素耐药性列为全球十大公共卫生威胁之一。美国冷泉港实验室约翰·摩西教授创造了一种对抗这些耐药超级细菌的新武器，这是一种可通过重新排列原子来改变形状的“变形金刚”抗生素。研究成果发表在新一期《美国国家科学院院刊》上。</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研究人员在军事训练演习中观察坦克时，萌生了使用变形抗生素的想法。他们了解到一种叫作牛瓦烯的分子，这种流动分子的原子可交换位置，这使它具有超过一百万种可能配置的不断变化的形状。</w:t>
      </w:r>
      <w:r w:rsidRPr="00253E7F">
        <w:rPr>
          <w:rFonts w:eastAsia="MS Gothic" w:hAnsi="MS Gothic" w:cs="MS Gothic" w:hint="eastAsia"/>
          <w:color w:val="333333"/>
        </w:rPr>
        <w:t> </w:t>
      </w:r>
      <w:r w:rsidRPr="00253E7F">
        <w:rPr>
          <w:rFonts w:eastAsia="MS Gothic" w:hAnsi="MS Gothic" w:cs="MS Gothic" w:hint="eastAsia"/>
          <w:color w:val="333333"/>
        </w:rPr>
        <w:t> </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包括耐甲氧西林金葡菌、耐万古霉素金黄色葡萄球菌和抗万古霉素肠球菌等在内的几种细菌，已对强效抗生素万古霉素产生了耐药性，摩西认为可通过将药物与牛瓦烯结合来提高药物的抗菌性能。</w:t>
      </w:r>
      <w:r w:rsidRPr="00253E7F">
        <w:rPr>
          <w:rFonts w:eastAsia="MS Gothic" w:hAnsi="MS Gothic" w:cs="MS Gothic" w:hint="eastAsia"/>
          <w:color w:val="333333"/>
        </w:rPr>
        <w:t> </w:t>
      </w:r>
      <w:r w:rsidRPr="00253E7F">
        <w:rPr>
          <w:rFonts w:eastAsia="MS Gothic" w:hAnsi="MS Gothic" w:cs="MS Gothic" w:hint="eastAsia"/>
          <w:color w:val="333333"/>
        </w:rPr>
        <w:t> </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使用曾获诺贝尔奖的</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“点击化学”技术，摩西团队创造了一种新的抗生素，它有两个万古霉素“弹头”和一个波动的牛瓦烯中心。</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研究人员将这种药物给予感染了抗万古霉素肠球菌的蜡蛾幼虫，这些幼虫通常用于测试抗生素。他们发现变形抗生素在清除致命感染方面比万古霉素更有效。此外，细菌没有对新抗生素产生耐药性。</w:t>
      </w:r>
      <w:r w:rsidRPr="00253E7F">
        <w:rPr>
          <w:rFonts w:eastAsia="MS Gothic" w:hAnsi="MS Gothic" w:cs="MS Gothic" w:hint="eastAsia"/>
          <w:color w:val="333333"/>
        </w:rPr>
        <w:t> </w:t>
      </w:r>
      <w:r w:rsidRPr="00253E7F">
        <w:rPr>
          <w:rFonts w:eastAsia="MS Gothic" w:hAnsi="MS Gothic" w:cs="MS Gothic" w:hint="eastAsia"/>
          <w:color w:val="333333"/>
        </w:rPr>
        <w:t> </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摩西解释说，研究人员可使用</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“点击化学”和变形抗生素来制造大量新药。这种抗感染武器甚至可能成为物种生存和进化的关键，“如果我们能发明出决定生与死的分子，那将是有史以来最伟大的成就”。</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    摘引网址：http://health.people.com.cn/n1/2023/0408/c14739-32659833.html</w:t>
      </w:r>
    </w:p>
    <w:p w:rsidR="0067503F" w:rsidRPr="00253E7F" w:rsidRDefault="0067503F" w:rsidP="00253E7F">
      <w:pPr>
        <w:pStyle w:val="a7"/>
        <w:adjustRightInd w:val="0"/>
        <w:snapToGrid w:val="0"/>
        <w:spacing w:before="0" w:beforeAutospacing="0" w:after="0" w:afterAutospacing="0" w:line="360" w:lineRule="auto"/>
        <w:rPr>
          <w:rFonts w:hint="eastAsia"/>
          <w:color w:val="333333"/>
        </w:rPr>
      </w:pPr>
    </w:p>
    <w:p w:rsidR="002769C3" w:rsidRPr="00253E7F" w:rsidRDefault="002769C3" w:rsidP="00253E7F">
      <w:pPr>
        <w:pStyle w:val="a7"/>
        <w:adjustRightInd w:val="0"/>
        <w:snapToGrid w:val="0"/>
        <w:spacing w:before="0" w:beforeAutospacing="0" w:after="0" w:afterAutospacing="0" w:line="360" w:lineRule="auto"/>
        <w:outlineLvl w:val="0"/>
        <w:rPr>
          <w:color w:val="333333"/>
        </w:rPr>
      </w:pPr>
      <w:bookmarkStart w:id="2" w:name="_Toc134085503"/>
      <w:r w:rsidRPr="00253E7F">
        <w:rPr>
          <w:rFonts w:hint="eastAsia"/>
          <w:b/>
          <w:bCs/>
          <w:color w:val="333333"/>
        </w:rPr>
        <w:lastRenderedPageBreak/>
        <w:t>2023年《职业病防治法》宣传周活动将开启</w:t>
      </w:r>
      <w:bookmarkEnd w:id="2"/>
    </w:p>
    <w:p w:rsidR="002769C3" w:rsidRPr="00253E7F" w:rsidRDefault="002769C3"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(2023-04-10    人民网)</w:t>
      </w:r>
    </w:p>
    <w:p w:rsidR="002769C3" w:rsidRPr="00253E7F" w:rsidRDefault="002769C3"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人民网北京4月10日电 （记者孙红丽）为切实保障广大劳动者职业健康权益，国家卫生健康委、民政部等六部门近日联合印发《关于开展2023年&lt;职业病防治法&gt;宣传周活动的通知》（以下简称《通知》），提出以宣传落实《职业病防治法》和《国家职业病防治规划（2021-2025年）》为主要内容，普及职业病防治和职业健康知识，进一步推动落实用人单位、政府有关部门和劳动者的责任，立足新发展阶段，贯彻新发展理念，营造全社会关心关注职业健康的文化氛围。</w:t>
      </w:r>
    </w:p>
    <w:p w:rsidR="002769C3" w:rsidRPr="00253E7F" w:rsidRDefault="002769C3"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据了解，2023年4月25日至5月1日是第21个《职业病防治法》宣传周。今年的活动主题是“改善工作环境和条件，保护劳动者身心健康”。</w:t>
      </w:r>
    </w:p>
    <w:p w:rsidR="002769C3" w:rsidRPr="00253E7F" w:rsidRDefault="002769C3"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通知》要求，围绕《职业病防治法》等法律法规标准和政策开展宣贯阐释，宣传“国家加强职业健康保护”的有关法律规定和各地依法治理职业病危害、扩大工伤保险覆盖面、开展职业病诊疗康复、落实职业病患者救助政策、维护保障劳动者职业健康权益的实践经验和创新做法，进一步增强全社会的职业健康法治意识。</w:t>
      </w:r>
    </w:p>
    <w:p w:rsidR="002769C3" w:rsidRPr="00253E7F" w:rsidRDefault="002769C3"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通知》还提到，围绕实施《国家职业病防治规划（2021-2025年）》开展宣传活动。各地可通过视频展播、图文展览、主题宣讲等方式展示规划实施以来所取得的成绩，宣传解读“十四五”时期职业健康工作任务和要求，落实“防、治、管、教、建”五字策略，努力实现“十四五”规划目标。</w:t>
      </w:r>
    </w:p>
    <w:p w:rsidR="002769C3" w:rsidRPr="00253E7F" w:rsidRDefault="002769C3"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摘引网址：https://health.huanqiu.com/article/4CQqPC6sJv4</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p>
    <w:p w:rsidR="002769C3" w:rsidRPr="00253E7F" w:rsidRDefault="002769C3" w:rsidP="00253E7F">
      <w:pPr>
        <w:pStyle w:val="a7"/>
        <w:adjustRightInd w:val="0"/>
        <w:snapToGrid w:val="0"/>
        <w:spacing w:before="0" w:beforeAutospacing="0" w:after="0" w:afterAutospacing="0" w:line="360" w:lineRule="auto"/>
        <w:jc w:val="center"/>
        <w:outlineLvl w:val="0"/>
        <w:rPr>
          <w:color w:val="333333"/>
        </w:rPr>
      </w:pPr>
      <w:bookmarkStart w:id="3" w:name="_Toc134085504"/>
      <w:r w:rsidRPr="00253E7F">
        <w:rPr>
          <w:rFonts w:hint="eastAsia"/>
          <w:b/>
          <w:bCs/>
          <w:color w:val="333333"/>
        </w:rPr>
        <w:t>国新办发布会介绍我国新冠溯源研究情况——在科学轨道上开展新冠溯源研究工作</w:t>
      </w:r>
      <w:bookmarkEnd w:id="3"/>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(2023-04-10    人民网－人民日报海外版)</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    本报北京4月9日电  （记者王美华）国务院新闻办公室日前举行新闻发布会，介绍我国新冠溯源研究情况并答记者问。</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新冠疫情发生以来，我们一直在持续推进相关溯源研究工作。”国家疾控局副局长、中国疾控中心主任沈洪兵介绍，新冠病毒溯源研究是一个很专业的问题，中国政府和科学家始终保持科学态度，希望把新冠病毒的来源搞清楚，这对于防止类似疫情再次发生具有非常重要的意义。</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lastRenderedPageBreak/>
        <w:t>沈洪兵介绍，作为开放大国，在疫情发生后，中国在溯源这个科学问题上一直秉持科学态度，积极与世界卫生组织沟通合作。为响应第七十三届世界卫生大会决议，中国率先主动邀请世卫组织选派国际专家组两次来华合作开展溯源联合研究，在坚持</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共同制定工作方案、共同开展分析研究、共同撰写研究报告、共同发布研究结果”的原则下，成功在武汉完成了第一阶段联合溯源研究，形成的《世界卫生组织召集的SARS—CoV—2新冠溯源研究：中国部分——世卫组织联合研究报告》得到了当时参与研究的国内外专家和世卫组织的充分认可。</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在整个第一阶段联合研究过程中，中国向联合专家组提供了当时所掌握的所有溯源相关资料，没有隐瞒任何病例、样本及其检测和分析结果。”沈洪兵说，近日世卫组织个别官员和专家随意发表观点，轻率否定当时的结果，完全是违背科学精神的，是对世界各国参与前期溯源工作的科学家的粗鲁冒犯和不恭，是将新冠溯源政治化的表现，是中国科学界无法容忍的，也是不能被全球科学界所接受的。</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4月5日，中国疾控中心研究团队关于华南海鲜市场早期研究数据的论文已在《自然》杂志正式在线发表。对此，北京化工大学生命学院院长、教授童贻刚介绍，经过基因组测序发现，病毒序列和当时患者的病毒序列几乎相同，这提示这些病毒应该来源于人。这些数据也进一步证实了中国和世卫组织联合团队在第一阶段所作出的结论。</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沈洪兵介绍，在第一阶段联合研究已投入巨大的人力、物力、财力基础上，中国并没有停下新冠病毒溯源的脚步，仍然统筹资源继续在流行病学、分子流行病学、动物与环境乃至实验室检查等方向开展全面的科学调查研究工作，相关进展和结论，也已经由中方科学家通过与世卫组织和新型病原体起源国际科学咨询小组（</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SAGO）报告交流或发表文章等方式，与国际科学界和同行进行了分享。众多研究发现也进一步证实了第一阶段的联合研究结果。</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“这些研究成果和相关数据已在国际国内学术刊物上公开发表。我们希望秉承科学的态度，坚持科学家为主体，加强交流合作和信息共享，在科学的轨道上开展新冠病毒溯源工作。”沈洪兵说。</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新冠病毒最有可能的起源是什么？中国疾控中心研究员周蕾介绍，在第一阶段的联合研究过程当中就已经得到了一个结论，充分展示在中国和世卫组织联合发布的联合研究报告里。这个结论为：人畜共患病直接溢出的可能性是</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“可能到比较可能”，通</w:t>
      </w:r>
      <w:r w:rsidRPr="00253E7F">
        <w:rPr>
          <w:rFonts w:hint="eastAsia"/>
          <w:color w:val="333333"/>
        </w:rPr>
        <w:lastRenderedPageBreak/>
        <w:t>过中间宿主引入是“比较可能到非常可能”的，通过冷链引入是“可能”的，通过实验室引入是“极不可能”的。</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“目前还没有任何科学的根据能够明确新冠病毒真正的起源。”童贻刚说。</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周蕾介绍，人类历史上遇到的新发传染病，如人类免疫缺陷病毒（</w:t>
      </w: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HIV）出现十几年后才初步对起源有了解。新冠病毒溯源还有很长的路要走。多种疾病溯源的研究结果表明，疫情的发现地并不等于疫情的起源地。</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eastAsia="MS Gothic" w:hAnsi="MS Gothic" w:cs="MS Gothic" w:hint="eastAsia"/>
          <w:color w:val="333333"/>
        </w:rPr>
        <w:t> </w:t>
      </w:r>
      <w:r w:rsidRPr="00253E7F">
        <w:rPr>
          <w:rFonts w:eastAsia="MS Gothic" w:hAnsi="MS Gothic" w:cs="MS Gothic" w:hint="eastAsia"/>
          <w:color w:val="333333"/>
        </w:rPr>
        <w:t> </w:t>
      </w:r>
      <w:r w:rsidRPr="00253E7F">
        <w:rPr>
          <w:rFonts w:hint="eastAsia"/>
          <w:color w:val="333333"/>
        </w:rPr>
        <w:t>“新冠病毒溯源不是一个国家的事情，也不是一个国家能够独立完成的，它必然需要全球科学界共同的努力。”周蕾说，希望世卫组织能秉承科学、严谨、公正的态度，真正把全球溯源工作组织起来，未来能真正得到一个让世界信服的答案。</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    摘引网址：http://health.people.com.cn/n1/2023/0410/c14739-32660617.htm</w:t>
      </w:r>
    </w:p>
    <w:p w:rsidR="002769C3" w:rsidRPr="00253E7F" w:rsidRDefault="002769C3" w:rsidP="00253E7F">
      <w:pPr>
        <w:pStyle w:val="a7"/>
        <w:adjustRightInd w:val="0"/>
        <w:snapToGrid w:val="0"/>
        <w:spacing w:before="0" w:beforeAutospacing="0" w:after="0" w:afterAutospacing="0" w:line="360" w:lineRule="auto"/>
        <w:rPr>
          <w:rFonts w:hint="eastAsia"/>
          <w:color w:val="333333"/>
        </w:rPr>
      </w:pPr>
    </w:p>
    <w:p w:rsidR="00253E7F" w:rsidRPr="00253E7F" w:rsidRDefault="00253E7F" w:rsidP="00253E7F">
      <w:pPr>
        <w:pStyle w:val="a7"/>
        <w:adjustRightInd w:val="0"/>
        <w:snapToGrid w:val="0"/>
        <w:spacing w:before="0" w:beforeAutospacing="0" w:after="0" w:afterAutospacing="0" w:line="360" w:lineRule="auto"/>
        <w:outlineLvl w:val="0"/>
        <w:rPr>
          <w:color w:val="333333"/>
        </w:rPr>
      </w:pPr>
      <w:bookmarkStart w:id="4" w:name="_Toc134085505"/>
      <w:r w:rsidRPr="00253E7F">
        <w:rPr>
          <w:rFonts w:hint="eastAsia"/>
          <w:b/>
          <w:bCs/>
          <w:color w:val="333333"/>
        </w:rPr>
        <w:t>当前哪些人群需接种疫苗？最新新冠疫苗接种工作方案发布</w:t>
      </w:r>
      <w:bookmarkEnd w:id="4"/>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(2023-04-10    人民网)</w:t>
      </w:r>
    </w:p>
    <w:p w:rsidR="00253E7F" w:rsidRPr="00253E7F" w:rsidRDefault="00253E7F" w:rsidP="00253E7F">
      <w:pPr>
        <w:pStyle w:val="a7"/>
        <w:adjustRightInd w:val="0"/>
        <w:snapToGrid w:val="0"/>
        <w:spacing w:before="0" w:beforeAutospacing="0" w:after="0" w:afterAutospacing="0" w:line="360" w:lineRule="auto"/>
        <w:rPr>
          <w:rFonts w:hint="eastAsia"/>
          <w:color w:val="333333"/>
        </w:rPr>
      </w:pPr>
      <w:r w:rsidRPr="00253E7F">
        <w:rPr>
          <w:rFonts w:hint="eastAsia"/>
          <w:color w:val="333333"/>
        </w:rPr>
        <w:t>  人民网北京4月10日电 （记者孙红丽）国务院应对新型冠状病毒感染疫情联防联控机制综合组近日印发《应对近期新冠病毒感染疫情疫苗接种工作方案》（以下简称《方案》）。《方案》明确，现阶段疫苗接种的重点是针对不同目标人群补齐免疫水平差距，进一步降低重症和死亡风险。</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目标人群包括：未感染且未完成既定免疫程序的人群。包括3-17岁未感染且尚未完成基础免疫的人群，18岁以上未感染且尚未完成第一剂次加强免疫的人群，以及18岁以上未感染且尚未完成第二剂次加强免疫接种的人群（感染高风险人群、60岁以上老年人群、具有较严重基础性疾病人群和免疫力低下人群）；已感染且未完成基础免疫的人群。</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另外，根据《方案》，时间间隔方面，未感染的目标人群按照既定免疫程序及其时间间隔要求完成后续剂次疫苗接种。其中，完成基础免疫的18岁以上人群，第一剂次加强免疫时间间隔调整为3个月以上；已感染且未完成基础免疫的人群，可在感染3个月后接种1剂次疫苗。</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疫苗选择方面，神州细胞重组新冠病毒4价S三聚体蛋白疫苗、石药集团新冠病毒mRNA疫苗已纳入紧急使用，可用于18岁以上人群加强免疫接种。</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lastRenderedPageBreak/>
        <w:t>未感染目标人群基础免疫接种使用的疫苗，参照前期有关要求执行，加强免疫优先推荐使用神州细胞重组新冠病毒4价S三聚体蛋白疫苗、石药集团新冠病毒mRNA疫苗接种，也可选择其他已获批附条件上市或纳入紧急使用的重组蛋白疫苗或病毒载体疫苗进行序贯加强免疫接种。</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已感染且未完成基础免疫的18岁以上人群，优先推荐使用神州细胞重组新冠病毒4价S三聚体蛋白疫苗、石药集团新冠病毒mRNA疫苗接种，也可选择其他已获批附条件上市或纳入紧急使用的重组蛋白疫苗或病毒载体疫苗接种。已感染且未完成基础免疫的3-17岁人群，接种使用的疫苗参照前期有关要求执行。</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后续将根据疫苗研发、审批进展，结合疫情形势、病毒变异等情况，适时研究调整接种策略。</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附：《应对近期新冠病毒感染疫情疫苗接种工作方案》解读问答</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《应对近期新冠病毒感染疫情疫苗接种工作方案》解读问答</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一、我国已经经历了一轮全国范围的疫情流行，为什么还需要接种新冠病毒疫苗？</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当前，全国整体疫情处于局部零星散发状态，但新冠病毒并未消失，病毒在人群中的传播仍持续存在。不同人群免疫水平还存在差距。在此前疫情中，未感染且尚未完成既定免疫程序的人群，未来仍存在感染并发展成重症的风险；已感染且未完成基础免疫的人群，由于疫苗或病毒诱导的抗原刺激不足，免疫保护效果也明显弱于完成基础免疫后再感染获得的混合免疫。加之保护性抗体会随时间延长发生衰减，现阶段部分人群仍需接种疫苗，进一步强化自身免疫能力，补齐免疫水平差距，降低未来可能出现的重症和死亡风险。</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二、当前哪些人群需接种疫苗？如何判断自己是否需要接种疫苗？</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前期，结合疫苗研发进展和特定人群患病风险，针对不同人群制定了差异化的疫苗免疫程序。具体包括，3-17岁人群需完成2针灭活疫苗或3针智飞重组蛋白疫苗的基础免疫接种；18岁以上人群要在基础免疫的基础上完成第一剂次加强免疫，其中感染高风险人群、60岁以上老年人群、具有较严重基础性疾病人群和免疫力低下人群还需完成第二剂次加强免疫。</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随着疫情形势的变化，现阶段是否需要接种疫苗要根据感染情况、既往接种史以及年龄、身体状况等因素确定。如果在此前疫情中未感染，但尚未完成既定免疫程序，则需要继续完成后续剂次的疫苗接种。如果在此前疫情中已感染，但在感染前尚未完</w:t>
      </w:r>
      <w:r w:rsidRPr="00253E7F">
        <w:rPr>
          <w:rFonts w:hint="eastAsia"/>
          <w:color w:val="333333"/>
        </w:rPr>
        <w:lastRenderedPageBreak/>
        <w:t>成基础免疫，则需要在感染3个月后再接种1剂次疫苗。是否曾感染可以通过新冠病毒核酸或抗原检测结果，是否存在发热、咳嗽等新冠病毒感染相关症状且具有流行病学史（与感染者存在无防护接触等）进行综合判定。</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研究结果显示，基础免疫后再经历自然感染的人群和已完成既定免疫程序的人群，通过多次抗原刺激，能够产生较好的免疫保护。对于此类人群，短时间内再次接种疫苗的效果有限，暂不需要继续接种疫苗。后续将根据病毒变异情况、疫苗研发进展等确定相关人群是否需要继续接种疫苗。</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三、符合条件人群该如何接种？</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我国已有多条技术路线新冠病毒疫苗陆续获批使用。研究结果显示，序贯免疫能够为个体提供更加全面的保护。因此，如果前期接种了灭活疫苗，加强免疫或感染后接种推荐选择重组蛋白疫苗、病毒载体新冠病毒疫苗（吸入型腺病毒载体新冠病毒疫苗和流感病毒载体新冠病毒疫苗）。</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此外，神州细胞重组新冠病毒4价S三聚体蛋白疫苗和石药集团新冠病毒mRNA疫苗近期已获准紧急使用，可用于18岁以上人群的加强免疫。根据国务院联防联控机制科研攻关组疫苗研发专班推荐意见，神州细胞重组新冠病毒4价S三聚体蛋白疫苗包含了新冠病毒Alpha、Beta、Delta、Omicron（BA.1）四种变异株的抗原成分，石药集团新冠病毒mRNA疫苗涵盖了Omicron的核心突变位点，对奥密克戎毒株有较好的交叉保护效果。考虑随时可能出现的病毒感染风险，建议符合条件的人群满足时间间隔要求后，无需等待特定疫苗，可尽快完成疫苗接种。</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四、为什么符合条件人群要在感染3个月后接种疫苗？</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疫苗接种及感染获得的保护性抗体会随时间延长发生衰减。对于感染人群的新冠病毒疫苗接种时间，世界卫生组织及美国、英国、德国等主要机构和国家均推荐在感染后3-6个月进行疫苗接种。从全球范围看，感染3个月后进行新冠病毒疫苗接种已是共识，有利于在后续可能发生的疫情中为重症、死亡高风险人群提供更好的保护。</w:t>
      </w:r>
    </w:p>
    <w:p w:rsidR="00253E7F" w:rsidRPr="00253E7F" w:rsidRDefault="00253E7F" w:rsidP="00253E7F">
      <w:pPr>
        <w:pStyle w:val="a7"/>
        <w:adjustRightInd w:val="0"/>
        <w:snapToGrid w:val="0"/>
        <w:spacing w:before="0" w:beforeAutospacing="0" w:after="0" w:afterAutospacing="0" w:line="360" w:lineRule="auto"/>
        <w:ind w:firstLine="420"/>
        <w:rPr>
          <w:rFonts w:hint="eastAsia"/>
          <w:color w:val="333333"/>
        </w:rPr>
      </w:pPr>
      <w:r w:rsidRPr="00253E7F">
        <w:rPr>
          <w:rFonts w:hint="eastAsia"/>
          <w:color w:val="333333"/>
        </w:rPr>
        <w:t>摘引网址：http://health.people.com.cn/n1/2023/0410/c14739-32660880.html</w:t>
      </w:r>
    </w:p>
    <w:p w:rsidR="00253E7F" w:rsidRPr="00253E7F" w:rsidRDefault="00253E7F" w:rsidP="00095C88">
      <w:pPr>
        <w:pStyle w:val="a7"/>
        <w:adjustRightInd w:val="0"/>
        <w:snapToGrid w:val="0"/>
        <w:spacing w:before="0" w:beforeAutospacing="0" w:after="0" w:afterAutospacing="0" w:line="360" w:lineRule="auto"/>
        <w:rPr>
          <w:rFonts w:ascii="微软雅黑" w:eastAsia="微软雅黑" w:hAnsi="微软雅黑"/>
          <w:color w:val="333333"/>
        </w:rPr>
      </w:pPr>
    </w:p>
    <w:sectPr w:rsidR="00253E7F" w:rsidRPr="00253E7F"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4A2" w:rsidRDefault="00FE34A2" w:rsidP="003C6FFE">
      <w:r>
        <w:separator/>
      </w:r>
    </w:p>
  </w:endnote>
  <w:endnote w:type="continuationSeparator" w:id="1">
    <w:p w:rsidR="00FE34A2" w:rsidRDefault="00FE34A2"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6B7568" w:rsidP="002F2290">
        <w:pPr>
          <w:pStyle w:val="a3"/>
          <w:jc w:val="center"/>
        </w:pPr>
        <w:r>
          <w:fldChar w:fldCharType="begin"/>
        </w:r>
        <w:r w:rsidR="00726786">
          <w:instrText xml:space="preserve"> PAGE   \* MERGEFORMAT </w:instrText>
        </w:r>
        <w:r>
          <w:fldChar w:fldCharType="separate"/>
        </w:r>
        <w:r w:rsidR="00253E7F" w:rsidRPr="00253E7F">
          <w:rPr>
            <w:noProof/>
            <w:lang w:val="zh-CN"/>
          </w:rPr>
          <w:t>3</w:t>
        </w:r>
        <w:r>
          <w:fldChar w:fldCharType="end"/>
        </w:r>
      </w:p>
    </w:sdtContent>
  </w:sdt>
  <w:p w:rsidR="002F2290" w:rsidRDefault="00FE34A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4A2" w:rsidRDefault="00FE34A2" w:rsidP="003C6FFE">
      <w:r>
        <w:separator/>
      </w:r>
    </w:p>
  </w:footnote>
  <w:footnote w:type="continuationSeparator" w:id="1">
    <w:p w:rsidR="00FE34A2" w:rsidRDefault="00FE34A2"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95C88"/>
    <w:rsid w:val="000A2242"/>
    <w:rsid w:val="000C2BC9"/>
    <w:rsid w:val="000E15D1"/>
    <w:rsid w:val="00100759"/>
    <w:rsid w:val="001428DD"/>
    <w:rsid w:val="0015344F"/>
    <w:rsid w:val="001A11A0"/>
    <w:rsid w:val="001B3B90"/>
    <w:rsid w:val="001C19E3"/>
    <w:rsid w:val="001E6BD4"/>
    <w:rsid w:val="001F7D14"/>
    <w:rsid w:val="002270A5"/>
    <w:rsid w:val="00251D95"/>
    <w:rsid w:val="00253E7F"/>
    <w:rsid w:val="002578F8"/>
    <w:rsid w:val="002769C3"/>
    <w:rsid w:val="002A284F"/>
    <w:rsid w:val="002B2B0A"/>
    <w:rsid w:val="002E5E98"/>
    <w:rsid w:val="00361836"/>
    <w:rsid w:val="003A2C3D"/>
    <w:rsid w:val="003A3475"/>
    <w:rsid w:val="003C6FFE"/>
    <w:rsid w:val="003F6543"/>
    <w:rsid w:val="00420B43"/>
    <w:rsid w:val="0043442B"/>
    <w:rsid w:val="00457831"/>
    <w:rsid w:val="0049345A"/>
    <w:rsid w:val="004B7CC3"/>
    <w:rsid w:val="004D12A3"/>
    <w:rsid w:val="005963E2"/>
    <w:rsid w:val="00596768"/>
    <w:rsid w:val="005F0E31"/>
    <w:rsid w:val="005F2E0F"/>
    <w:rsid w:val="005F641C"/>
    <w:rsid w:val="0060638A"/>
    <w:rsid w:val="0067503F"/>
    <w:rsid w:val="006B7438"/>
    <w:rsid w:val="006B7568"/>
    <w:rsid w:val="006B7D3C"/>
    <w:rsid w:val="006C7AB3"/>
    <w:rsid w:val="007179D6"/>
    <w:rsid w:val="00726786"/>
    <w:rsid w:val="0077189D"/>
    <w:rsid w:val="007B248D"/>
    <w:rsid w:val="007C5DFF"/>
    <w:rsid w:val="00815E71"/>
    <w:rsid w:val="008D6947"/>
    <w:rsid w:val="008F6471"/>
    <w:rsid w:val="009116B1"/>
    <w:rsid w:val="00927108"/>
    <w:rsid w:val="00935F62"/>
    <w:rsid w:val="009470C4"/>
    <w:rsid w:val="009573A7"/>
    <w:rsid w:val="009B55F1"/>
    <w:rsid w:val="009D3FE9"/>
    <w:rsid w:val="00A11314"/>
    <w:rsid w:val="00A37B02"/>
    <w:rsid w:val="00A52526"/>
    <w:rsid w:val="00B250B4"/>
    <w:rsid w:val="00B9703D"/>
    <w:rsid w:val="00BB7308"/>
    <w:rsid w:val="00BD3F55"/>
    <w:rsid w:val="00BF5C4B"/>
    <w:rsid w:val="00C179B1"/>
    <w:rsid w:val="00C500D7"/>
    <w:rsid w:val="00C51691"/>
    <w:rsid w:val="00C56048"/>
    <w:rsid w:val="00C83C16"/>
    <w:rsid w:val="00C97D29"/>
    <w:rsid w:val="00CA5296"/>
    <w:rsid w:val="00CF245C"/>
    <w:rsid w:val="00D26E66"/>
    <w:rsid w:val="00D5385B"/>
    <w:rsid w:val="00D641D2"/>
    <w:rsid w:val="00D9480C"/>
    <w:rsid w:val="00DA03DE"/>
    <w:rsid w:val="00E0302F"/>
    <w:rsid w:val="00E1158F"/>
    <w:rsid w:val="00E76545"/>
    <w:rsid w:val="00EA22B1"/>
    <w:rsid w:val="00EA69C8"/>
    <w:rsid w:val="00ED6611"/>
    <w:rsid w:val="00EF6B08"/>
    <w:rsid w:val="00F15C1D"/>
    <w:rsid w:val="00FE1C88"/>
    <w:rsid w:val="00FE3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inacdc.cn/jkzt/crb/zl/szkb_11803/jszl_13141/202304/t202304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1194-126B-4F3F-BC05-3890B720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1513</Words>
  <Characters>8627</Characters>
  <Application>Microsoft Office Word</Application>
  <DocSecurity>0</DocSecurity>
  <Lines>71</Lines>
  <Paragraphs>20</Paragraphs>
  <ScaleCrop>false</ScaleCrop>
  <Company>Microsoft</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2023-03-02T02:30:00Z</cp:lastPrinted>
  <dcterms:created xsi:type="dcterms:W3CDTF">2023-05-04T01:31:00Z</dcterms:created>
  <dcterms:modified xsi:type="dcterms:W3CDTF">2023-05-04T01:38:00Z</dcterms:modified>
</cp:coreProperties>
</file>