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5F0E31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5F0E31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7526B5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526B5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B24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202</w:t>
      </w:r>
      <w:r w:rsidR="00C56048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504C27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B94D63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期（202</w:t>
      </w:r>
      <w:r w:rsidR="00A37B02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04C27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924330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9D2E89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924330">
        <w:rPr>
          <w:rFonts w:asciiTheme="minorEastAsia" w:hAnsiTheme="minorEastAsia" w:hint="eastAsia"/>
          <w:color w:val="000000" w:themeColor="text1"/>
          <w:sz w:val="24"/>
          <w:szCs w:val="24"/>
        </w:rPr>
        <w:t>18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1C19E3" w:rsidRPr="00D26E66" w:rsidRDefault="001C19E3" w:rsidP="00D26E66">
      <w:pPr>
        <w:pStyle w:val="10"/>
      </w:pPr>
      <w:r w:rsidRPr="00D26E66">
        <w:rPr>
          <w:rFonts w:hint="eastAsia"/>
        </w:rPr>
        <w:t>本期目录</w:t>
      </w:r>
    </w:p>
    <w:p w:rsidR="00661A98" w:rsidRDefault="007526B5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r w:rsidRPr="007526B5">
        <w:rPr>
          <w:rFonts w:hAnsiTheme="minorHAnsi"/>
        </w:rPr>
        <w:fldChar w:fldCharType="begin"/>
      </w:r>
      <w:r w:rsidR="001C19E3" w:rsidRPr="001C19E3">
        <w:instrText xml:space="preserve"> </w:instrText>
      </w:r>
      <w:r w:rsidR="001C19E3" w:rsidRPr="001C19E3">
        <w:rPr>
          <w:rFonts w:hint="eastAsia"/>
        </w:rPr>
        <w:instrText>TOC \o "1-3" \h \z \u</w:instrText>
      </w:r>
      <w:r w:rsidR="001C19E3" w:rsidRPr="001C19E3">
        <w:instrText xml:space="preserve"> </w:instrText>
      </w:r>
      <w:r w:rsidRPr="007526B5">
        <w:rPr>
          <w:rFonts w:hAnsiTheme="minorHAnsi"/>
        </w:rPr>
        <w:fldChar w:fldCharType="separate"/>
      </w:r>
      <w:hyperlink w:anchor="_Toc139875965" w:history="1">
        <w:r w:rsidR="00661A98" w:rsidRPr="00F041C8">
          <w:rPr>
            <w:rStyle w:val="a4"/>
            <w:rFonts w:ascii="微软雅黑" w:eastAsia="微软雅黑" w:hAnsi="微软雅黑" w:hint="eastAsia"/>
            <w:bCs/>
            <w:noProof/>
          </w:rPr>
          <w:t>广州监测发现</w:t>
        </w:r>
        <w:r w:rsidR="00661A98" w:rsidRPr="00F041C8">
          <w:rPr>
            <w:rStyle w:val="a4"/>
            <w:rFonts w:ascii="微软雅黑" w:eastAsia="微软雅黑" w:hAnsi="微软雅黑"/>
            <w:bCs/>
            <w:noProof/>
          </w:rPr>
          <w:t>2</w:t>
        </w:r>
        <w:r w:rsidR="00661A98" w:rsidRPr="00F041C8">
          <w:rPr>
            <w:rStyle w:val="a4"/>
            <w:rFonts w:ascii="微软雅黑" w:eastAsia="微软雅黑" w:hAnsi="微软雅黑" w:hint="eastAsia"/>
            <w:bCs/>
            <w:noProof/>
          </w:rPr>
          <w:t>例猴痘病例</w:t>
        </w:r>
        <w:r w:rsidR="00661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1A98">
          <w:rPr>
            <w:noProof/>
            <w:webHidden/>
          </w:rPr>
          <w:instrText xml:space="preserve"> PAGEREF _Toc139875965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1A9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61A98" w:rsidRDefault="007526B5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9875966" w:history="1">
        <w:r w:rsidR="00661A98" w:rsidRPr="00F041C8">
          <w:rPr>
            <w:rStyle w:val="a4"/>
            <w:rFonts w:ascii="微软雅黑" w:eastAsia="微软雅黑" w:hAnsi="微软雅黑" w:hint="eastAsia"/>
            <w:bCs/>
            <w:noProof/>
          </w:rPr>
          <w:t>全国新型冠状病毒感染疫情情况</w:t>
        </w:r>
        <w:r w:rsidR="00661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1A98">
          <w:rPr>
            <w:noProof/>
            <w:webHidden/>
          </w:rPr>
          <w:instrText xml:space="preserve"> PAGEREF _Toc139875966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1A9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61A98" w:rsidRDefault="007526B5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9875967" w:history="1">
        <w:r w:rsidR="00661A98" w:rsidRPr="00F041C8">
          <w:rPr>
            <w:rStyle w:val="a4"/>
            <w:rFonts w:ascii="微软雅黑" w:eastAsia="微软雅黑" w:hAnsi="微软雅黑" w:hint="eastAsia"/>
            <w:bCs/>
            <w:noProof/>
          </w:rPr>
          <w:t>北京：最新疫情周报显示</w:t>
        </w:r>
        <w:r w:rsidR="00661A98" w:rsidRPr="00F041C8">
          <w:rPr>
            <w:rStyle w:val="a4"/>
            <w:bCs/>
            <w:noProof/>
          </w:rPr>
          <w:t> </w:t>
        </w:r>
        <w:r w:rsidR="00661A98" w:rsidRPr="00F041C8">
          <w:rPr>
            <w:rStyle w:val="a4"/>
            <w:rFonts w:ascii="微软雅黑" w:eastAsia="微软雅黑" w:hAnsi="微软雅黑" w:hint="eastAsia"/>
            <w:bCs/>
            <w:noProof/>
          </w:rPr>
          <w:t>呼吸道传染病仍是主要病种</w:t>
        </w:r>
        <w:r w:rsidR="00661A9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1A98">
          <w:rPr>
            <w:noProof/>
            <w:webHidden/>
          </w:rPr>
          <w:instrText xml:space="preserve"> PAGEREF _Toc139875967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1A9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7503F" w:rsidRPr="002C161A" w:rsidRDefault="007526B5" w:rsidP="00110C99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color w:val="000000" w:themeColor="text1"/>
        </w:rPr>
      </w:pPr>
      <w:r w:rsidRPr="001C19E3">
        <w:rPr>
          <w:rFonts w:ascii="黑体" w:eastAsia="黑体"/>
          <w:color w:val="000000" w:themeColor="text1"/>
        </w:rPr>
        <w:fldChar w:fldCharType="end"/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</w:rPr>
      </w:pPr>
      <w:bookmarkStart w:id="0" w:name="_Toc139875965"/>
      <w:r w:rsidRPr="00661A98">
        <w:rPr>
          <w:rFonts w:hint="eastAsia"/>
          <w:b/>
          <w:bCs/>
          <w:color w:val="333333"/>
        </w:rPr>
        <w:t>广州监测发现2例猴痘病例</w:t>
      </w:r>
      <w:bookmarkEnd w:id="0"/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(2023-06-12    央视新闻客户端)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 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6月11日，记者从广东疾控中心了解到，6月10日广州市监测发现2例猴痘病例。病例分别为43岁男性和29岁男性。经广东省、广州市疾控中心实验室检测及中国疾控中心复核，实验室结果猴痘病毒核酸阳性，结合病例流行病学调查、临床表现、实验室检测结果，诊断为猴痘确诊病例。目前病例正在定点医院进行隔离治疗，症状较轻。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病例发现后，广东疾控已指导广州市按照相关方案开展流行病学调查、密切接触者医学观察等疫情处置工作。目前猴痘对公众的感染风险低，广东疾控建议市民朋友要积极了解猴痘预防知识，做好健康防护，若在国内外有可疑动物、人员或猴痘病例接触史，或有同性性行为等高危行为，出现发热、皮疹等症状，应主动就医，并告知接诊医生境外旅居史和接触史，以协助诊断和治疗。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    摘引网址：http://health.people.com.cn/n1/2023/0612/c14739-40011282.html</w:t>
      </w:r>
    </w:p>
    <w:p w:rsidR="00396F30" w:rsidRPr="00661A98" w:rsidRDefault="00396F30" w:rsidP="00661A98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  <w:sz w:val="21"/>
          <w:szCs w:val="21"/>
        </w:rPr>
      </w:pP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</w:rPr>
      </w:pPr>
      <w:bookmarkStart w:id="1" w:name="_Toc139875966"/>
      <w:r w:rsidRPr="00661A98">
        <w:rPr>
          <w:rFonts w:hint="eastAsia"/>
          <w:b/>
          <w:bCs/>
          <w:color w:val="333333"/>
        </w:rPr>
        <w:t>全国新型冠状病毒感染疫情情况</w:t>
      </w:r>
      <w:bookmarkEnd w:id="1"/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(2023-06-11    中国疾病预防控制中心)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    （2023年5月）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一、全国新冠病毒感染重症和死亡病例报告情况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2023年5月1日-5月31日，全国31个省（自治区、直辖市）及新疆生产建设兵团报告新增重症病例2777例、死亡病例164例（其中新冠病毒感染导致呼吸功能衰竭死亡病例3例、基础疾病合并新冠病毒感染死亡病例161例）。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    二、全国发热门诊（诊室）诊疗情况  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全国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31个省（自治区、直辖市）及新疆生产建设兵团发热门诊（诊室）诊疗量从2023年5月1日的18.3万上升至5月16日的36.0万，之后波动下降至5月31日的29.4万。见图2。   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三、哨点医院监测情况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lastRenderedPageBreak/>
        <w:t>全国哨点医院流感样病例占门（急）诊就诊人数比例从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2023年第17周（4月24日-4月30日）的4.6%上升至第20周（5月15日-5月21日）的6.2%，第21周（5月22日-5月28日）回落至5.8%。见图3-1。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流感样病例新冠病毒阳性率从第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17周的8.8%快速上升至第20周的40.7%，之后缓慢上升至21周的42.5%。见图3-2。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四、本土病例病毒变异监测情况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2023年5月1日-5月31日，全国31个省（自治区、直辖市）及新疆生产建设兵团共报送14732例本土病例新冠病毒基因组有效序列，均为奥密克戎变异株，涵盖160个进化分支，主要流行株为XBB系列变异株，占比前三位的分别为XBB.1.9及其亚分支、XBB.1.16及其亚分支、XBB.1.5及其亚分支。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注：世界卫生组织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5月5日宣布新冠病毒感染疫情不再构成“国际关注的突发公共卫生事件”。新冠病毒感染在我国属于 “乙类乙管”传染病，按照法定传染病疫情信息公布要求每月公布一次。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综合监测数据显示，今年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2月至4月上旬全国新冠病毒感染疫情局部零星散发，4月下旬开始逐步上升，5月下旬上升趋势减缓，目前呈下降趋势。与4月相比，5月发热门诊就诊量、重症和死亡病例有所增加，但总体水平较低，远低于去年年底疫情高峰时情况，重症和死亡病例以老年人群、患有基础性疾病人群为主，死亡病例平均年龄79.3岁，其中90%以上为基础性疾病合并新冠病毒感染。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    摘引网址：https://www.chinacdc.cn/jkzt/crb/zl/szkb_11803/jszl_13141/202306/t20230611_266656.html</w:t>
      </w:r>
    </w:p>
    <w:p w:rsidR="00924330" w:rsidRPr="00661A98" w:rsidRDefault="00924330" w:rsidP="00661A98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  <w:sz w:val="21"/>
          <w:szCs w:val="21"/>
        </w:rPr>
      </w:pPr>
    </w:p>
    <w:p w:rsidR="007B4BC9" w:rsidRPr="00661A98" w:rsidRDefault="007B4BC9" w:rsidP="00661A98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  <w:sz w:val="21"/>
          <w:szCs w:val="21"/>
        </w:rPr>
      </w:pPr>
      <w:bookmarkStart w:id="2" w:name="_Toc139875967"/>
      <w:r w:rsidRPr="00661A98">
        <w:rPr>
          <w:rFonts w:hint="eastAsia"/>
          <w:b/>
          <w:bCs/>
          <w:color w:val="333333"/>
          <w:sz w:val="21"/>
          <w:szCs w:val="21"/>
        </w:rPr>
        <w:t>北京：最新疫情周报显示 呼吸道传染病仍是主要病种</w:t>
      </w:r>
      <w:bookmarkEnd w:id="2"/>
    </w:p>
    <w:p w:rsidR="007B4BC9" w:rsidRPr="00661A98" w:rsidRDefault="007B4BC9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hint="eastAsia"/>
          <w:color w:val="333333"/>
          <w:sz w:val="21"/>
          <w:szCs w:val="21"/>
        </w:rPr>
        <w:t>(2023-06-15 </w:t>
      </w:r>
      <w:r w:rsidRPr="00661A98">
        <w:rPr>
          <w:rFonts w:cs="Arial"/>
          <w:color w:val="333333"/>
          <w:sz w:val="21"/>
          <w:szCs w:val="21"/>
        </w:rPr>
        <w:t>   </w:t>
      </w:r>
      <w:r w:rsidRPr="00661A98">
        <w:rPr>
          <w:rFonts w:hint="eastAsia"/>
          <w:color w:val="333333"/>
          <w:sz w:val="21"/>
          <w:szCs w:val="21"/>
        </w:rPr>
        <w:t>新华健康)</w:t>
      </w:r>
    </w:p>
    <w:p w:rsidR="007B4BC9" w:rsidRPr="00661A98" w:rsidRDefault="007B4BC9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cs="Arial"/>
          <w:color w:val="333333"/>
          <w:sz w:val="21"/>
          <w:szCs w:val="21"/>
        </w:rPr>
        <w:t> </w:t>
      </w:r>
    </w:p>
    <w:p w:rsidR="007B4BC9" w:rsidRPr="00661A98" w:rsidRDefault="007B4BC9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市卫健委日前发布今年第</w:t>
      </w:r>
      <w:r w:rsidRPr="00661A98">
        <w:rPr>
          <w:rFonts w:cs="Arial"/>
          <w:color w:val="333333"/>
          <w:sz w:val="21"/>
          <w:szCs w:val="21"/>
        </w:rPr>
        <w:t>23</w:t>
      </w:r>
      <w:r w:rsidRPr="00661A98">
        <w:rPr>
          <w:rFonts w:hint="eastAsia"/>
          <w:color w:val="333333"/>
          <w:sz w:val="21"/>
          <w:szCs w:val="21"/>
        </w:rPr>
        <w:t>周（</w:t>
      </w:r>
      <w:r w:rsidRPr="00661A98">
        <w:rPr>
          <w:rFonts w:cs="Arial"/>
          <w:color w:val="333333"/>
          <w:sz w:val="21"/>
          <w:szCs w:val="21"/>
        </w:rPr>
        <w:t>6</w:t>
      </w:r>
      <w:r w:rsidRPr="00661A98">
        <w:rPr>
          <w:rFonts w:hint="eastAsia"/>
          <w:color w:val="333333"/>
          <w:sz w:val="21"/>
          <w:szCs w:val="21"/>
        </w:rPr>
        <w:t>月</w:t>
      </w:r>
      <w:r w:rsidRPr="00661A98">
        <w:rPr>
          <w:rFonts w:cs="Arial"/>
          <w:color w:val="333333"/>
          <w:sz w:val="21"/>
          <w:szCs w:val="21"/>
        </w:rPr>
        <w:t>5</w:t>
      </w:r>
      <w:r w:rsidRPr="00661A98">
        <w:rPr>
          <w:rFonts w:hint="eastAsia"/>
          <w:color w:val="333333"/>
          <w:sz w:val="21"/>
          <w:szCs w:val="21"/>
        </w:rPr>
        <w:t>日至</w:t>
      </w:r>
      <w:r w:rsidRPr="00661A98">
        <w:rPr>
          <w:rFonts w:cs="Arial"/>
          <w:color w:val="333333"/>
          <w:sz w:val="21"/>
          <w:szCs w:val="21"/>
        </w:rPr>
        <w:t>6</w:t>
      </w:r>
      <w:r w:rsidRPr="00661A98">
        <w:rPr>
          <w:rFonts w:hint="eastAsia"/>
          <w:color w:val="333333"/>
          <w:sz w:val="21"/>
          <w:szCs w:val="21"/>
        </w:rPr>
        <w:t>月</w:t>
      </w:r>
      <w:r w:rsidRPr="00661A98">
        <w:rPr>
          <w:rFonts w:cs="Arial"/>
          <w:color w:val="333333"/>
          <w:sz w:val="21"/>
          <w:szCs w:val="21"/>
        </w:rPr>
        <w:t>11</w:t>
      </w:r>
      <w:r w:rsidRPr="00661A98">
        <w:rPr>
          <w:rFonts w:hint="eastAsia"/>
          <w:color w:val="333333"/>
          <w:sz w:val="21"/>
          <w:szCs w:val="21"/>
        </w:rPr>
        <w:t>日</w:t>
      </w:r>
      <w:r w:rsidRPr="00661A98">
        <w:rPr>
          <w:rFonts w:cs="Arial"/>
          <w:color w:val="333333"/>
          <w:sz w:val="21"/>
          <w:szCs w:val="21"/>
        </w:rPr>
        <w:t>) </w:t>
      </w:r>
      <w:r w:rsidRPr="00661A98">
        <w:rPr>
          <w:rFonts w:hint="eastAsia"/>
          <w:color w:val="333333"/>
          <w:sz w:val="21"/>
          <w:szCs w:val="21"/>
        </w:rPr>
        <w:t>疫情周报：上周本市法定传染病报告发病数较前一周有所下降，呼吸道传染病为主要报告病种，占报告数的</w:t>
      </w:r>
      <w:r w:rsidRPr="00661A98">
        <w:rPr>
          <w:rFonts w:cs="Arial"/>
          <w:color w:val="333333"/>
          <w:sz w:val="21"/>
          <w:szCs w:val="21"/>
        </w:rPr>
        <w:t>94.4%</w:t>
      </w:r>
      <w:r w:rsidRPr="00661A98">
        <w:rPr>
          <w:rFonts w:hint="eastAsia"/>
          <w:color w:val="333333"/>
          <w:sz w:val="21"/>
          <w:szCs w:val="21"/>
        </w:rPr>
        <w:t>。</w:t>
      </w:r>
    </w:p>
    <w:p w:rsidR="007B4BC9" w:rsidRPr="00661A98" w:rsidRDefault="007B4BC9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第</w:t>
      </w:r>
      <w:r w:rsidRPr="00661A98">
        <w:rPr>
          <w:rFonts w:cs="Arial"/>
          <w:color w:val="333333"/>
          <w:sz w:val="21"/>
          <w:szCs w:val="21"/>
        </w:rPr>
        <w:t>17</w:t>
      </w:r>
      <w:r w:rsidRPr="00661A98">
        <w:rPr>
          <w:rFonts w:hint="eastAsia"/>
          <w:color w:val="333333"/>
          <w:sz w:val="21"/>
          <w:szCs w:val="21"/>
        </w:rPr>
        <w:t>至</w:t>
      </w:r>
      <w:r w:rsidRPr="00661A98">
        <w:rPr>
          <w:rFonts w:cs="Arial"/>
          <w:color w:val="333333"/>
          <w:sz w:val="21"/>
          <w:szCs w:val="21"/>
        </w:rPr>
        <w:t>23</w:t>
      </w:r>
      <w:r w:rsidRPr="00661A98">
        <w:rPr>
          <w:rFonts w:hint="eastAsia"/>
          <w:color w:val="333333"/>
          <w:sz w:val="21"/>
          <w:szCs w:val="21"/>
        </w:rPr>
        <w:t>周全市报告法定传染病依次为</w:t>
      </w:r>
      <w:r w:rsidRPr="00661A98">
        <w:rPr>
          <w:rFonts w:cs="Arial"/>
          <w:color w:val="333333"/>
          <w:sz w:val="21"/>
          <w:szCs w:val="21"/>
        </w:rPr>
        <w:t>6438</w:t>
      </w:r>
      <w:r w:rsidRPr="00661A98">
        <w:rPr>
          <w:rFonts w:hint="eastAsia"/>
          <w:color w:val="333333"/>
          <w:sz w:val="21"/>
          <w:szCs w:val="21"/>
        </w:rPr>
        <w:t>例、</w:t>
      </w:r>
      <w:r w:rsidRPr="00661A98">
        <w:rPr>
          <w:rFonts w:cs="Arial"/>
          <w:color w:val="333333"/>
          <w:sz w:val="21"/>
          <w:szCs w:val="21"/>
        </w:rPr>
        <w:t>10508</w:t>
      </w:r>
      <w:r w:rsidRPr="00661A98">
        <w:rPr>
          <w:rFonts w:hint="eastAsia"/>
          <w:color w:val="333333"/>
          <w:sz w:val="21"/>
          <w:szCs w:val="21"/>
        </w:rPr>
        <w:t>例、</w:t>
      </w:r>
      <w:r w:rsidRPr="00661A98">
        <w:rPr>
          <w:rFonts w:cs="Arial"/>
          <w:color w:val="333333"/>
          <w:sz w:val="21"/>
          <w:szCs w:val="21"/>
        </w:rPr>
        <w:t>18081</w:t>
      </w:r>
      <w:r w:rsidRPr="00661A98">
        <w:rPr>
          <w:rFonts w:hint="eastAsia"/>
          <w:color w:val="333333"/>
          <w:sz w:val="21"/>
          <w:szCs w:val="21"/>
        </w:rPr>
        <w:t>例、</w:t>
      </w:r>
      <w:r w:rsidRPr="00661A98">
        <w:rPr>
          <w:rFonts w:cs="Arial"/>
          <w:color w:val="333333"/>
          <w:sz w:val="21"/>
          <w:szCs w:val="21"/>
        </w:rPr>
        <w:t>25544</w:t>
      </w:r>
      <w:r w:rsidRPr="00661A98">
        <w:rPr>
          <w:rFonts w:hint="eastAsia"/>
          <w:color w:val="333333"/>
          <w:sz w:val="21"/>
          <w:szCs w:val="21"/>
        </w:rPr>
        <w:t>例、</w:t>
      </w:r>
      <w:r w:rsidRPr="00661A98">
        <w:rPr>
          <w:rFonts w:cs="Arial"/>
          <w:color w:val="333333"/>
          <w:sz w:val="21"/>
          <w:szCs w:val="21"/>
        </w:rPr>
        <w:t>30750</w:t>
      </w:r>
      <w:r w:rsidRPr="00661A98">
        <w:rPr>
          <w:rFonts w:hint="eastAsia"/>
          <w:color w:val="333333"/>
          <w:sz w:val="21"/>
          <w:szCs w:val="21"/>
        </w:rPr>
        <w:t>例、</w:t>
      </w:r>
      <w:r w:rsidRPr="00661A98">
        <w:rPr>
          <w:rFonts w:cs="Arial"/>
          <w:color w:val="333333"/>
          <w:sz w:val="21"/>
          <w:szCs w:val="21"/>
        </w:rPr>
        <w:t>23526</w:t>
      </w:r>
      <w:r w:rsidRPr="00661A98">
        <w:rPr>
          <w:rFonts w:hint="eastAsia"/>
          <w:color w:val="333333"/>
          <w:sz w:val="21"/>
          <w:szCs w:val="21"/>
        </w:rPr>
        <w:t>例、</w:t>
      </w:r>
      <w:r w:rsidRPr="00661A98">
        <w:rPr>
          <w:rFonts w:cs="Arial"/>
          <w:color w:val="333333"/>
          <w:sz w:val="21"/>
          <w:szCs w:val="21"/>
        </w:rPr>
        <w:t>16969</w:t>
      </w:r>
      <w:r w:rsidRPr="00661A98">
        <w:rPr>
          <w:rFonts w:hint="eastAsia"/>
          <w:color w:val="333333"/>
          <w:sz w:val="21"/>
          <w:szCs w:val="21"/>
        </w:rPr>
        <w:t>例。其中，第</w:t>
      </w:r>
      <w:r w:rsidRPr="00661A98">
        <w:rPr>
          <w:rFonts w:cs="Arial"/>
          <w:color w:val="333333"/>
          <w:sz w:val="21"/>
          <w:szCs w:val="21"/>
        </w:rPr>
        <w:t>23</w:t>
      </w:r>
      <w:r w:rsidRPr="00661A98">
        <w:rPr>
          <w:rFonts w:hint="eastAsia"/>
          <w:color w:val="333333"/>
          <w:sz w:val="21"/>
          <w:szCs w:val="21"/>
        </w:rPr>
        <w:t>周本市共报告法定传染病</w:t>
      </w:r>
      <w:r w:rsidRPr="00661A98">
        <w:rPr>
          <w:rFonts w:cs="Arial"/>
          <w:color w:val="333333"/>
          <w:sz w:val="21"/>
          <w:szCs w:val="21"/>
        </w:rPr>
        <w:t>14</w:t>
      </w:r>
      <w:r w:rsidRPr="00661A98">
        <w:rPr>
          <w:rFonts w:hint="eastAsia"/>
          <w:color w:val="333333"/>
          <w:sz w:val="21"/>
          <w:szCs w:val="21"/>
        </w:rPr>
        <w:t>种</w:t>
      </w:r>
      <w:r w:rsidRPr="00661A98">
        <w:rPr>
          <w:rFonts w:cs="Arial"/>
          <w:color w:val="333333"/>
          <w:sz w:val="21"/>
          <w:szCs w:val="21"/>
        </w:rPr>
        <w:t>16969</w:t>
      </w:r>
      <w:r w:rsidRPr="00661A98">
        <w:rPr>
          <w:rFonts w:hint="eastAsia"/>
          <w:color w:val="333333"/>
          <w:sz w:val="21"/>
          <w:szCs w:val="21"/>
        </w:rPr>
        <w:t>例，死亡</w:t>
      </w:r>
      <w:r w:rsidRPr="00661A98">
        <w:rPr>
          <w:rFonts w:cs="Arial"/>
          <w:color w:val="333333"/>
          <w:sz w:val="21"/>
          <w:szCs w:val="21"/>
        </w:rPr>
        <w:t>5</w:t>
      </w:r>
      <w:r w:rsidRPr="00661A98">
        <w:rPr>
          <w:rFonts w:hint="eastAsia"/>
          <w:color w:val="333333"/>
          <w:sz w:val="21"/>
          <w:szCs w:val="21"/>
        </w:rPr>
        <w:t>例；报告病例数居前</w:t>
      </w:r>
      <w:r w:rsidRPr="00661A98">
        <w:rPr>
          <w:rFonts w:cs="Arial"/>
          <w:color w:val="333333"/>
          <w:sz w:val="21"/>
          <w:szCs w:val="21"/>
        </w:rPr>
        <w:t>5</w:t>
      </w:r>
      <w:r w:rsidRPr="00661A98">
        <w:rPr>
          <w:rFonts w:hint="eastAsia"/>
          <w:color w:val="333333"/>
          <w:sz w:val="21"/>
          <w:szCs w:val="21"/>
        </w:rPr>
        <w:t>位的病种依次为：新型冠状病毒感染、其他感染性腹泻病、流行性感冒、肺结核和梅毒，共占法定传染病报告发病数的</w:t>
      </w:r>
      <w:r w:rsidRPr="00661A98">
        <w:rPr>
          <w:rFonts w:cs="Arial"/>
          <w:color w:val="333333"/>
          <w:sz w:val="21"/>
          <w:szCs w:val="21"/>
        </w:rPr>
        <w:t>97.9%</w:t>
      </w:r>
      <w:r w:rsidRPr="00661A98">
        <w:rPr>
          <w:rFonts w:hint="eastAsia"/>
          <w:color w:val="333333"/>
          <w:sz w:val="21"/>
          <w:szCs w:val="21"/>
        </w:rPr>
        <w:t>。目前，新冠病毒感染的报告发病数已连续</w:t>
      </w:r>
      <w:r w:rsidRPr="00661A98">
        <w:rPr>
          <w:rFonts w:cs="Arial"/>
          <w:color w:val="333333"/>
          <w:sz w:val="21"/>
          <w:szCs w:val="21"/>
        </w:rPr>
        <w:t>7</w:t>
      </w:r>
      <w:r w:rsidRPr="00661A98">
        <w:rPr>
          <w:rFonts w:hint="eastAsia"/>
          <w:color w:val="333333"/>
          <w:sz w:val="21"/>
          <w:szCs w:val="21"/>
        </w:rPr>
        <w:t>周位于榜首。</w:t>
      </w:r>
    </w:p>
    <w:p w:rsidR="007B4BC9" w:rsidRPr="00661A98" w:rsidRDefault="007B4BC9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661A98">
        <w:rPr>
          <w:rFonts w:hint="eastAsia"/>
          <w:color w:val="333333"/>
          <w:sz w:val="21"/>
          <w:szCs w:val="21"/>
        </w:rPr>
        <w:t>夏季是手足口病高发季节。市卫健委提醒市民，手足口病是由多种肠道病毒感染引起的儿童常见传染病，好发年龄为</w:t>
      </w:r>
      <w:r w:rsidRPr="00661A98">
        <w:rPr>
          <w:rFonts w:cs="Arial"/>
          <w:color w:val="333333"/>
          <w:sz w:val="21"/>
          <w:szCs w:val="21"/>
        </w:rPr>
        <w:t>5</w:t>
      </w:r>
      <w:r w:rsidRPr="00661A98">
        <w:rPr>
          <w:rFonts w:hint="eastAsia"/>
          <w:color w:val="333333"/>
          <w:sz w:val="21"/>
          <w:szCs w:val="21"/>
        </w:rPr>
        <w:t>岁及以下婴幼儿，保持良好的卫生习惯是预防手足口病的重要方式。要做到：进食前、如厕后、处理呕吐物或更换尿布后应洗手；不要与他人共用毛巾或个人物品；经</w:t>
      </w:r>
      <w:r w:rsidRPr="00661A98">
        <w:rPr>
          <w:rFonts w:hint="eastAsia"/>
          <w:color w:val="333333"/>
          <w:sz w:val="21"/>
          <w:szCs w:val="21"/>
        </w:rPr>
        <w:lastRenderedPageBreak/>
        <w:t>常清洁和消毒常接触的物品表面，如家具、玩具等。接种</w:t>
      </w:r>
      <w:r w:rsidRPr="00661A98">
        <w:rPr>
          <w:rFonts w:cs="Arial"/>
          <w:color w:val="333333"/>
          <w:sz w:val="21"/>
          <w:szCs w:val="21"/>
        </w:rPr>
        <w:t>EV71</w:t>
      </w:r>
      <w:r w:rsidRPr="00661A98">
        <w:rPr>
          <w:rFonts w:hint="eastAsia"/>
          <w:color w:val="333333"/>
          <w:sz w:val="21"/>
          <w:szCs w:val="21"/>
        </w:rPr>
        <w:t>疫苗可有效预防</w:t>
      </w:r>
      <w:r w:rsidRPr="00661A98">
        <w:rPr>
          <w:rFonts w:cs="Arial"/>
          <w:color w:val="333333"/>
          <w:sz w:val="21"/>
          <w:szCs w:val="21"/>
        </w:rPr>
        <w:t>EV-A71</w:t>
      </w:r>
      <w:r w:rsidRPr="00661A98">
        <w:rPr>
          <w:rFonts w:hint="eastAsia"/>
          <w:color w:val="333333"/>
          <w:sz w:val="21"/>
          <w:szCs w:val="21"/>
        </w:rPr>
        <w:t>感染引起的手足口病和其他相关疾病。</w:t>
      </w:r>
    </w:p>
    <w:p w:rsidR="007B4BC9" w:rsidRPr="00661A98" w:rsidRDefault="007B4BC9" w:rsidP="00661A98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661A98">
        <w:rPr>
          <w:rFonts w:cs="Arial"/>
          <w:color w:val="333333"/>
          <w:sz w:val="21"/>
          <w:szCs w:val="21"/>
        </w:rPr>
        <w:t>    </w:t>
      </w:r>
      <w:r w:rsidRPr="00661A98">
        <w:rPr>
          <w:rFonts w:hint="eastAsia"/>
          <w:color w:val="333333"/>
          <w:sz w:val="21"/>
          <w:szCs w:val="21"/>
        </w:rPr>
        <w:t>摘引网址：</w:t>
      </w:r>
      <w:r w:rsidRPr="00661A98">
        <w:rPr>
          <w:rFonts w:cs="Arial"/>
          <w:color w:val="333333"/>
          <w:sz w:val="21"/>
          <w:szCs w:val="21"/>
        </w:rPr>
        <w:t>http://www.xinhuanet.com/health/20230615/f4f33904bb99462</w:t>
      </w:r>
    </w:p>
    <w:p w:rsidR="00396F30" w:rsidRPr="00661A98" w:rsidRDefault="00396F30" w:rsidP="00661A98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outlineLvl w:val="0"/>
        <w:rPr>
          <w:color w:val="000000" w:themeColor="text1"/>
          <w:sz w:val="21"/>
          <w:szCs w:val="21"/>
        </w:rPr>
      </w:pPr>
    </w:p>
    <w:sectPr w:rsidR="00396F30" w:rsidRPr="00661A98" w:rsidSect="00D93881">
      <w:footerReference w:type="default" r:id="rId7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FF4" w:rsidRDefault="00063FF4" w:rsidP="003C6FFE">
      <w:r>
        <w:separator/>
      </w:r>
    </w:p>
  </w:endnote>
  <w:endnote w:type="continuationSeparator" w:id="1">
    <w:p w:rsidR="00063FF4" w:rsidRDefault="00063FF4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7526B5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B94D63" w:rsidRPr="00B94D63">
          <w:rPr>
            <w:noProof/>
            <w:lang w:val="zh-CN"/>
          </w:rPr>
          <w:t>1</w:t>
        </w:r>
        <w:r>
          <w:fldChar w:fldCharType="end"/>
        </w:r>
      </w:p>
    </w:sdtContent>
  </w:sdt>
  <w:p w:rsidR="002F2290" w:rsidRDefault="00063FF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FF4" w:rsidRDefault="00063FF4" w:rsidP="003C6FFE">
      <w:r>
        <w:separator/>
      </w:r>
    </w:p>
  </w:footnote>
  <w:footnote w:type="continuationSeparator" w:id="1">
    <w:p w:rsidR="00063FF4" w:rsidRDefault="00063FF4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0327A7"/>
    <w:rsid w:val="00037C23"/>
    <w:rsid w:val="00063FF4"/>
    <w:rsid w:val="00095C88"/>
    <w:rsid w:val="000A2242"/>
    <w:rsid w:val="000C2BC9"/>
    <w:rsid w:val="000E15D1"/>
    <w:rsid w:val="00100759"/>
    <w:rsid w:val="00110C99"/>
    <w:rsid w:val="00113C81"/>
    <w:rsid w:val="001428DD"/>
    <w:rsid w:val="0015344F"/>
    <w:rsid w:val="00160977"/>
    <w:rsid w:val="001A11A0"/>
    <w:rsid w:val="001B3B90"/>
    <w:rsid w:val="001C19E3"/>
    <w:rsid w:val="001E6BD4"/>
    <w:rsid w:val="001F7D14"/>
    <w:rsid w:val="002270A5"/>
    <w:rsid w:val="00251D95"/>
    <w:rsid w:val="00253E7F"/>
    <w:rsid w:val="00254276"/>
    <w:rsid w:val="002578F8"/>
    <w:rsid w:val="002769C3"/>
    <w:rsid w:val="002A284F"/>
    <w:rsid w:val="002B2B0A"/>
    <w:rsid w:val="002C161A"/>
    <w:rsid w:val="002C228E"/>
    <w:rsid w:val="002E5E98"/>
    <w:rsid w:val="002F1E9A"/>
    <w:rsid w:val="00361836"/>
    <w:rsid w:val="00396F30"/>
    <w:rsid w:val="003A2C3D"/>
    <w:rsid w:val="003A3475"/>
    <w:rsid w:val="003C6FFE"/>
    <w:rsid w:val="003F6543"/>
    <w:rsid w:val="00420B43"/>
    <w:rsid w:val="0043442B"/>
    <w:rsid w:val="00457831"/>
    <w:rsid w:val="004835EC"/>
    <w:rsid w:val="0049345A"/>
    <w:rsid w:val="004B465C"/>
    <w:rsid w:val="004B7CC3"/>
    <w:rsid w:val="004D12A3"/>
    <w:rsid w:val="00504C27"/>
    <w:rsid w:val="00542B65"/>
    <w:rsid w:val="005650E9"/>
    <w:rsid w:val="005963E2"/>
    <w:rsid w:val="00596768"/>
    <w:rsid w:val="005D4871"/>
    <w:rsid w:val="005F0E31"/>
    <w:rsid w:val="005F2E0F"/>
    <w:rsid w:val="005F641C"/>
    <w:rsid w:val="0060638A"/>
    <w:rsid w:val="00657ECB"/>
    <w:rsid w:val="00661A98"/>
    <w:rsid w:val="0067503F"/>
    <w:rsid w:val="006B3BD9"/>
    <w:rsid w:val="006B7438"/>
    <w:rsid w:val="006B7568"/>
    <w:rsid w:val="006B7D3C"/>
    <w:rsid w:val="006C7AB3"/>
    <w:rsid w:val="006E7F6B"/>
    <w:rsid w:val="007179D6"/>
    <w:rsid w:val="00726786"/>
    <w:rsid w:val="007526B5"/>
    <w:rsid w:val="00760098"/>
    <w:rsid w:val="00765808"/>
    <w:rsid w:val="0077189D"/>
    <w:rsid w:val="00785BE5"/>
    <w:rsid w:val="007B248D"/>
    <w:rsid w:val="007B4BC9"/>
    <w:rsid w:val="007C5DFF"/>
    <w:rsid w:val="007E397E"/>
    <w:rsid w:val="00815E71"/>
    <w:rsid w:val="008B1392"/>
    <w:rsid w:val="008C73CB"/>
    <w:rsid w:val="008D6947"/>
    <w:rsid w:val="008F0329"/>
    <w:rsid w:val="008F6471"/>
    <w:rsid w:val="009116B1"/>
    <w:rsid w:val="00924330"/>
    <w:rsid w:val="00927108"/>
    <w:rsid w:val="00935F62"/>
    <w:rsid w:val="009441E5"/>
    <w:rsid w:val="009470C4"/>
    <w:rsid w:val="009573A7"/>
    <w:rsid w:val="00987BE4"/>
    <w:rsid w:val="009964C3"/>
    <w:rsid w:val="009A58E3"/>
    <w:rsid w:val="009B4342"/>
    <w:rsid w:val="009B55F1"/>
    <w:rsid w:val="009D2E89"/>
    <w:rsid w:val="009D3FE9"/>
    <w:rsid w:val="00A11314"/>
    <w:rsid w:val="00A12C55"/>
    <w:rsid w:val="00A22B30"/>
    <w:rsid w:val="00A37B02"/>
    <w:rsid w:val="00A52526"/>
    <w:rsid w:val="00A601DC"/>
    <w:rsid w:val="00A9187A"/>
    <w:rsid w:val="00B250B4"/>
    <w:rsid w:val="00B43769"/>
    <w:rsid w:val="00B542A4"/>
    <w:rsid w:val="00B94D63"/>
    <w:rsid w:val="00B95810"/>
    <w:rsid w:val="00B9703D"/>
    <w:rsid w:val="00BB7308"/>
    <w:rsid w:val="00BD3F55"/>
    <w:rsid w:val="00BE177B"/>
    <w:rsid w:val="00BE6B56"/>
    <w:rsid w:val="00BF5C4B"/>
    <w:rsid w:val="00C179B1"/>
    <w:rsid w:val="00C500D7"/>
    <w:rsid w:val="00C51691"/>
    <w:rsid w:val="00C56048"/>
    <w:rsid w:val="00C83C16"/>
    <w:rsid w:val="00C97D29"/>
    <w:rsid w:val="00CA5296"/>
    <w:rsid w:val="00CB30D5"/>
    <w:rsid w:val="00CF245C"/>
    <w:rsid w:val="00D23AED"/>
    <w:rsid w:val="00D26E66"/>
    <w:rsid w:val="00D45D06"/>
    <w:rsid w:val="00D5385B"/>
    <w:rsid w:val="00D641D2"/>
    <w:rsid w:val="00D9480C"/>
    <w:rsid w:val="00DA03DE"/>
    <w:rsid w:val="00DD6040"/>
    <w:rsid w:val="00E0302F"/>
    <w:rsid w:val="00E1158F"/>
    <w:rsid w:val="00E2628A"/>
    <w:rsid w:val="00E76545"/>
    <w:rsid w:val="00EA22B1"/>
    <w:rsid w:val="00EA69C8"/>
    <w:rsid w:val="00ED6611"/>
    <w:rsid w:val="00EE11F4"/>
    <w:rsid w:val="00EF6B08"/>
    <w:rsid w:val="00F0006C"/>
    <w:rsid w:val="00F15C1D"/>
    <w:rsid w:val="00F55AF7"/>
    <w:rsid w:val="00FB6F99"/>
    <w:rsid w:val="00FE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9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D26E66"/>
    <w:pPr>
      <w:tabs>
        <w:tab w:val="right" w:leader="dot" w:pos="8834"/>
      </w:tabs>
      <w:adjustRightInd w:val="0"/>
      <w:snapToGrid w:val="0"/>
      <w:spacing w:line="360" w:lineRule="auto"/>
      <w:jc w:val="left"/>
    </w:pPr>
    <w:rPr>
      <w:rFonts w:ascii="宋体" w:eastAsia="宋体" w:hAnsi="宋体"/>
      <w:b/>
      <w:color w:val="000000" w:themeColor="text1"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0C2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C19E3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84B9-539C-4210-BA7D-0EA5F116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2023-03-02T02:30:00Z</cp:lastPrinted>
  <dcterms:created xsi:type="dcterms:W3CDTF">2023-07-27T03:01:00Z</dcterms:created>
  <dcterms:modified xsi:type="dcterms:W3CDTF">2023-10-08T01:12:00Z</dcterms:modified>
</cp:coreProperties>
</file>