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5F0E31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5F0E31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B30FDA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30FDA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B24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202</w:t>
      </w:r>
      <w:r w:rsidR="00C56048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025DF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333AC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期（202</w:t>
      </w:r>
      <w:r w:rsidR="00A37B02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04C27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448B3">
        <w:rPr>
          <w:rFonts w:asciiTheme="minorEastAsia" w:hAnsiTheme="minorEastAsia" w:hint="eastAsia"/>
          <w:color w:val="000000" w:themeColor="text1"/>
          <w:sz w:val="24"/>
          <w:szCs w:val="24"/>
        </w:rPr>
        <w:t>26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1448B3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25DF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26786" w:rsidRPr="00C56048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1C19E3" w:rsidRPr="00D26E66" w:rsidRDefault="001C19E3" w:rsidP="00D26E66">
      <w:pPr>
        <w:pStyle w:val="10"/>
      </w:pPr>
      <w:r w:rsidRPr="00D26E66">
        <w:rPr>
          <w:rFonts w:hint="eastAsia"/>
        </w:rPr>
        <w:t>本期目录</w:t>
      </w:r>
    </w:p>
    <w:p w:rsidR="00765697" w:rsidRDefault="00B30FDA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r w:rsidRPr="00B30FDA">
        <w:rPr>
          <w:rFonts w:hAnsiTheme="minorHAnsi"/>
        </w:rPr>
        <w:fldChar w:fldCharType="begin"/>
      </w:r>
      <w:r w:rsidR="001C19E3" w:rsidRPr="001C19E3">
        <w:instrText xml:space="preserve"> </w:instrText>
      </w:r>
      <w:r w:rsidR="001C19E3" w:rsidRPr="001C19E3">
        <w:rPr>
          <w:rFonts w:hint="eastAsia"/>
        </w:rPr>
        <w:instrText>TOC \o "1-3" \h \z \u</w:instrText>
      </w:r>
      <w:r w:rsidR="001C19E3" w:rsidRPr="001C19E3">
        <w:instrText xml:space="preserve"> </w:instrText>
      </w:r>
      <w:r w:rsidRPr="00B30FDA">
        <w:rPr>
          <w:rFonts w:hAnsiTheme="minorHAnsi"/>
        </w:rPr>
        <w:fldChar w:fldCharType="separate"/>
      </w:r>
      <w:hyperlink w:anchor="_Toc139890977" w:history="1">
        <w:r w:rsidR="00765697" w:rsidRPr="00982B1D">
          <w:rPr>
            <w:rStyle w:val="a4"/>
            <w:rFonts w:asciiTheme="minorEastAsia" w:hAnsiTheme="minorEastAsia" w:hint="eastAsia"/>
            <w:bCs/>
            <w:noProof/>
          </w:rPr>
          <w:t>感染新冠病毒后，哪些人需要吃抗病毒药？专家这样说</w:t>
        </w:r>
        <w:r w:rsidR="0076569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697">
          <w:rPr>
            <w:noProof/>
            <w:webHidden/>
          </w:rPr>
          <w:instrText xml:space="preserve"> PAGEREF _Toc139890977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569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65697" w:rsidRDefault="00B30FDA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9890978" w:history="1">
        <w:r w:rsidR="00765697" w:rsidRPr="00982B1D">
          <w:rPr>
            <w:rStyle w:val="a4"/>
            <w:rFonts w:asciiTheme="minorEastAsia" w:hAnsiTheme="minorEastAsia"/>
            <w:bCs/>
            <w:noProof/>
          </w:rPr>
          <w:t>2050</w:t>
        </w:r>
        <w:r w:rsidR="00765697" w:rsidRPr="00982B1D">
          <w:rPr>
            <w:rStyle w:val="a4"/>
            <w:rFonts w:asciiTheme="minorEastAsia" w:hAnsiTheme="minorEastAsia" w:hint="eastAsia"/>
            <w:bCs/>
            <w:noProof/>
          </w:rPr>
          <w:t>年全球糖尿病患者将达</w:t>
        </w:r>
        <w:r w:rsidR="00765697" w:rsidRPr="00982B1D">
          <w:rPr>
            <w:rStyle w:val="a4"/>
            <w:rFonts w:asciiTheme="minorEastAsia" w:hAnsiTheme="minorEastAsia"/>
            <w:bCs/>
            <w:noProof/>
          </w:rPr>
          <w:t>13</w:t>
        </w:r>
        <w:r w:rsidR="00765697" w:rsidRPr="00982B1D">
          <w:rPr>
            <w:rStyle w:val="a4"/>
            <w:rFonts w:asciiTheme="minorEastAsia" w:hAnsiTheme="minorEastAsia" w:hint="eastAsia"/>
            <w:bCs/>
            <w:noProof/>
          </w:rPr>
          <w:t>亿</w:t>
        </w:r>
        <w:r w:rsidR="0076569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697">
          <w:rPr>
            <w:noProof/>
            <w:webHidden/>
          </w:rPr>
          <w:instrText xml:space="preserve"> PAGEREF _Toc139890978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569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65697" w:rsidRDefault="00B30FDA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9890979" w:history="1">
        <w:r w:rsidR="00765697" w:rsidRPr="00982B1D">
          <w:rPr>
            <w:rStyle w:val="a4"/>
            <w:rFonts w:asciiTheme="minorEastAsia" w:hAnsiTheme="minorEastAsia"/>
            <w:bCs/>
            <w:noProof/>
          </w:rPr>
          <w:t>2022</w:t>
        </w:r>
        <w:r w:rsidR="00765697" w:rsidRPr="00982B1D">
          <w:rPr>
            <w:rStyle w:val="a4"/>
            <w:rFonts w:asciiTheme="minorEastAsia" w:hAnsiTheme="minorEastAsia" w:hint="eastAsia"/>
            <w:bCs/>
            <w:noProof/>
          </w:rPr>
          <w:t>年全国重点人群职业健康素养水平为</w:t>
        </w:r>
        <w:r w:rsidR="00765697" w:rsidRPr="00982B1D">
          <w:rPr>
            <w:rStyle w:val="a4"/>
            <w:rFonts w:asciiTheme="minorEastAsia" w:hAnsiTheme="minorEastAsia"/>
            <w:bCs/>
            <w:noProof/>
          </w:rPr>
          <w:t>52.6%</w:t>
        </w:r>
        <w:r w:rsidR="0076569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697">
          <w:rPr>
            <w:noProof/>
            <w:webHidden/>
          </w:rPr>
          <w:instrText xml:space="preserve"> PAGEREF _Toc139890979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56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65697" w:rsidRDefault="00B30FDA">
      <w:pPr>
        <w:pStyle w:val="10"/>
        <w:rPr>
          <w:rFonts w:asciiTheme="minorHAnsi" w:eastAsiaTheme="minorEastAsia" w:hAnsiTheme="minorHAnsi"/>
          <w:b w:val="0"/>
          <w:noProof/>
          <w:color w:val="auto"/>
          <w:sz w:val="21"/>
          <w:szCs w:val="22"/>
          <w:shd w:val="clear" w:color="auto" w:fill="auto"/>
        </w:rPr>
      </w:pPr>
      <w:hyperlink w:anchor="_Toc139890980" w:history="1">
        <w:r w:rsidR="00765697" w:rsidRPr="00982B1D">
          <w:rPr>
            <w:rStyle w:val="a4"/>
            <w:rFonts w:asciiTheme="minorEastAsia" w:hAnsiTheme="minorEastAsia" w:hint="eastAsia"/>
            <w:bCs/>
            <w:noProof/>
          </w:rPr>
          <w:t>如何预防手足口病最有效？上海疾控解答</w:t>
        </w:r>
        <w:r w:rsidR="0076569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65697">
          <w:rPr>
            <w:noProof/>
            <w:webHidden/>
          </w:rPr>
          <w:instrText xml:space="preserve"> PAGEREF _Toc139890980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656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58E1" w:rsidRDefault="00B30FDA" w:rsidP="00E15033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="黑体" w:eastAsia="黑体"/>
          <w:color w:val="000000" w:themeColor="text1"/>
        </w:rPr>
      </w:pPr>
      <w:r w:rsidRPr="001C19E3">
        <w:rPr>
          <w:rFonts w:ascii="黑体" w:eastAsia="黑体"/>
          <w:color w:val="000000" w:themeColor="text1"/>
        </w:rPr>
        <w:fldChar w:fldCharType="end"/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0" w:name="_Toc139890977"/>
      <w:r w:rsidRPr="00087B70">
        <w:rPr>
          <w:rFonts w:asciiTheme="minorEastAsia" w:eastAsiaTheme="minorEastAsia" w:hAnsiTheme="minorEastAsia" w:hint="eastAsia"/>
          <w:b/>
          <w:bCs/>
          <w:color w:val="333333"/>
        </w:rPr>
        <w:t>感染新冠病毒后，哪些人需要吃抗病毒药？专家这样说</w:t>
      </w:r>
      <w:bookmarkEnd w:id="0"/>
    </w:p>
    <w:p w:rsidR="00A03BD4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(</w:t>
      </w:r>
      <w:r w:rsidR="00A03BD4"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2023-06-26    中国新闻网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)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随着疫情防控措施的优化，人员流动大幅增加，在领略祖国壮美风光之余，新冠病毒感染的风险不可忽视。那么，感染了新冠病毒就需要服用抗病毒药物吗？抗新冠病毒药物应该怎么服用？针对这些问题，记者采访了重庆医科大学附属第三医院呼吸内科主任姚伟教授。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易感染人群需要注意防护，抗原阴性不代表可以放松警惕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问：新冠病毒的易感人群有哪些？目前该如何预防新冠病毒感染？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姚伟教授：新冠病毒的易感人群包括既往未感染过的人、没有接种过疫苗的人等。此外，距离首次感染新冠病毒超过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6个月的人群，因体内抗体降低，也有再次感染的风险。建议接种疫苗或感染3个月后再次接种新冠疫苗，刺激体内抗体水平再度升高，降低感染风险。同时还要勤洗手、注意休息、适当进行户外活动；节假日亲友欢聚可能休息较晚，但过度熬夜会降低免疫力，也需要注意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问：已经有嗓子干、发烧等新冠病毒感染症状了，但抗原检测显示还是阴性。一般感染几天之后通过抗原检测可以测出新冠病毒感染？上述情况是否会延误使用药物的时机？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伟教授：现在很多人自己做抗原检测，但是抗原检测会有一定滞后性。我第一次感染时，在有症状三天以后抗原才呈阳性，但在第二次感染时，有症状的第一天就检测出阳性。因此，抗原检测阳性的出现早晚也是有区别的。对于高风险人群也就是脆弱人群，如果有新冠的接触史，或是出现了相应症状，即使抗原阴性也需要尽快去进行核酸检测。如果核酸结果也是阴性，但是有肺炎或是其他较为严重的症状，那在感染的早期启动抗病毒治疗是非常关键的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出现症状后怎么办，退烧药是否可以替代新冠抗病毒药物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问：出现新冠症状该怎么办？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姚伟教授：目前的奥密克戎毒株病毒性并不强，不少患者即便感染症状也较轻，首先需要放松心态、积极应对。一旦确诊并出现新冠症状后，最好在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“黄金72小时”内服用抗新冠药，尽可能减少对身体的危害，降低社会面传播能力。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问：上一波疫情时热度很高的退烧药可以替代新冠抗病毒药物吗？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伟教授：抗病毒药物的作用机制是抑制病毒的复制，从而起到缩短病程、改善生活质量的目的。因为新冠患者大多数症状都比较轻，可能有发烧、流鼻涕、打喷嚏、咳嗽等症状，但没有肺部感染，所以早期可以用退烧药这类缓解症状的药物。但是对于脆弱人群，新冠病毒感染容易引发肺炎，导致重症，那这类患者就需要使用抗病毒药物。除此以外，新冠症状严重、症状比较多的患者，需要尽快缓解症状的，也建议服用新冠抗病毒药物。两者之间是互相补充的关系，退烧药不能够替代抗病毒药物的治疗，这是我们要提醒大家的。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问：哪些人是脆弱人群？脆弱人群的用药有什么需要注意的？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姚伟教授：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“脆弱人群”包括高龄、糖尿病、肾功能不全、肝功能不全，过度肥胖以及长期使用免疫抑制剂的肿瘤患者，这类患者可能需要早期干预并使用新冠药物。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新冠抗病毒药物都有哪些，患者用药需要注意什么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问：现在市面上有哪些治疗新冠的药物？进口药物和国产药物有何区别？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姚伟教授：现在市面上的新冠抗病毒药物比较多，国产药也已上市，包括先诺欣、民得维等，可及性大幅提升。从作用机制来讲主要分两大类，也就是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3CL蛋白酶抑制剂和RdRp抑制剂。进口药和国产药作用机制非常相似，两者之间没有大的区别，患者如果需要用药，可根据医嘱和自身情况选择。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问：患者在使用新冠抗病毒药物时，有哪些需要注意的？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姚伟教授：不同作用机制、不同成分的新冠抗病毒药物在使用时有很多注意事项，需要就医后根据医嘱使用。比如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3CL抑制剂类新冠口服药有较为明显的药物作用机制冲突问题，可能会影响现有疾病的治疗。另外，不同药物的适用人群可能也不一样，比如进口药物(P药)主要针对减少重症发生，适用有高风险因素的轻中度患者使用，而今年获批的国产新冠抗病毒药物针对的轻中度患者，不限制是否伴有高风险因素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摘引网址：http://health.people.com.cn/n1/2023/0626/c14739-40020958.html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1" w:name="_Toc139890978"/>
      <w:r w:rsidRPr="00087B70">
        <w:rPr>
          <w:rFonts w:asciiTheme="minorEastAsia" w:eastAsiaTheme="minorEastAsia" w:hAnsiTheme="minorEastAsia" w:hint="eastAsia"/>
          <w:b/>
          <w:bCs/>
          <w:color w:val="333333"/>
        </w:rPr>
        <w:t>2050年全球糖尿病患者将达13亿</w:t>
      </w:r>
      <w:bookmarkEnd w:id="1"/>
    </w:p>
    <w:p w:rsidR="00A03BD4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(</w:t>
      </w:r>
      <w:r w:rsidR="00A03BD4"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2023-06-26    科技日报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)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美国华盛顿大学科学家在最新一期《柳叶刀》杂志上发表论文指出，全世界目前有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5.29亿糖尿病患者，预计到2050年，这一数字将达到13亿，每个国家的糖尿病患者人数都会增加。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利用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“2021年全球疾病负担”研究数据，科学家们调查了1990年至2021年间204个国家和地区的糖尿病发病率和死亡率，并预测了到2050年糖尿病的发病率，还量化了16个风险因素导致Ⅱ型糖尿病的患病比例。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迄今最新和最全面的计算显示，目前全球糖尿病发病率为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6.1%，已成为十大死亡和致残原因之一。北非和中东的发病率最高，为9.3%，预计到2050年，这一数字将跃升至16.8%；而拉丁美洲和加勒比地区的发病率预计将增至11.3%。糖尿病在65岁及以上人群中的发病率很高，全球这一人群的发病率超过20%，其中75岁至79岁人群发病率最高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此外，研究显示全球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96%病例都是Ⅱ型糖尿病，研究涉及的16个危险因素均与Ⅱ型糖尿病相关。高体重指数（BMI）是导致Ⅱ型糖尿病的主要风险，占Ⅱ型糖尿病残疾和致死率的52.2%，其次是饮食、环境/职业、吸烟、低体力活动和饮酒等风险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摘引网址：http://health.people.com.cn/n1/2023/0626/c14739-40020915.html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2" w:name="_Toc139890979"/>
      <w:r w:rsidRPr="00087B70">
        <w:rPr>
          <w:rFonts w:asciiTheme="minorEastAsia" w:eastAsiaTheme="minorEastAsia" w:hAnsiTheme="minorEastAsia" w:hint="eastAsia"/>
          <w:b/>
          <w:bCs/>
          <w:color w:val="333333"/>
        </w:rPr>
        <w:t>2022年全国重点人群职业健康素养水平为52.6%</w:t>
      </w:r>
      <w:bookmarkEnd w:id="2"/>
    </w:p>
    <w:p w:rsidR="00A03BD4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(</w:t>
      </w:r>
      <w:r w:rsidR="00A03BD4"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2023-06-27    人民网－人民日报海外版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)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本报北京电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 （李昕倩）日前，国家卫健委官方网站发布，2022年全国重点人群职业健康素养水平为52.6%。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经国家统计局批准，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2022年国家卫健委首次组织开展了重点人群职业健康素养监测。监测范围覆盖31个省、自治区、直辖市和新疆生产建设兵团（不包括香港、澳门、台湾地区）。监测对象为第二产业18个行业与第三产业5个行业的16-59岁劳动者，有效调查问卷超34万份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职业健康素养水平是通过计算本次调查问卷综合得分率在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80%及以上劳动者占全部监测劳动者的比例得到的。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第二产业重点人群职业健康素养水平为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56.5%。其中，化学原料和化学制品制造业等12个行业劳动者职业健康素养水平范围为53.1%—70.1%，高于全国水平；纺织、服装、服饰业等6个行业劳动者职业健康素养水平范围为38.7%—52.3%，低于全国水平。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第三产业重点人群职业健康素养水平为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48.9%。其中，医疗卫生业劳动者职业健康素养水平为65.8%，高于全国水平；快递与外卖配送业等4个行业劳动者职业健康素养水平范围为36.1%—51.7%，低于全国水平。</w:t>
      </w:r>
    </w:p>
    <w:p w:rsidR="00087B70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摘引网址：http://health.people.com.cn/n1/2023/0627/c14739-40021732.html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</w:rPr>
      </w:pPr>
      <w:r w:rsidRPr="00087B70">
        <w:rPr>
          <w:rFonts w:asciiTheme="minorEastAsia" w:eastAsiaTheme="minorEastAsia" w:hAnsiTheme="minorEastAsia" w:hint="eastAsia"/>
          <w:b/>
          <w:bCs/>
          <w:color w:val="333333"/>
        </w:rPr>
        <w:t>医防大咖谈流感丨流感症状轻重与个体免疫功能有关</w:t>
      </w:r>
    </w:p>
    <w:p w:rsidR="00A03BD4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(</w:t>
      </w:r>
      <w:r w:rsidR="00A03BD4"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2023-06-28    新华健康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)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随着夏季流感高峰的临近，流感话题再次引起大众关注。为什么流感每年都会流行，但不同年份、不同人群感染的轻重程度不同？日前，国家传染病医学中心主任、复旦大学附属华山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医院感染科主任张文宏教授在新华网《医防大咖谈》系列访谈中表示，流感病毒非常“善变”，自从1918年流感大流行以来，人类对流感已经有了较为充分的认识，流感病毒会发生抗原漂移，导致病毒每年都会发生变异，当年接种的流感疫苗所获得的免疫力，无法应对下一年的流行毒株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“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自1918年流感大流行以来，经过这100多年的观察，我们发现流感不同的型/亚型，在不同地区、不同时间节点，所引起的重症程度存在一定差异。差异的原因有两个：一是流感病毒每年都可能发生变异；二是人群既往感染后所获得的免疫无法覆盖新的变异毒株，同时免疫力有个体性差异，流感症状的轻重，取决于宿主的免疫功能和流感病毒之间的博弈。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“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="MS Gothic" w:hAnsiTheme="minorEastAsia" w:cs="MS Gothic" w:hint="eastAsia"/>
          <w:color w:val="333333"/>
          <w:sz w:val="21"/>
          <w:szCs w:val="21"/>
        </w:rPr>
        <w:t> </w:t>
      </w: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尽管这些变化很难预测，但整体上有一定的规律，我们可以采取科学有效的方式来应对。例如，世卫组织每年都会对下一季的流行毒株做预测，以生产相应的疫苗。”张文宏说。</w:t>
      </w:r>
    </w:p>
    <w:p w:rsidR="00A03BD4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   摘引网址：http://www.xinhuanet.com/health/20230628/87cf912ca8a846e19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333333"/>
        </w:rPr>
      </w:pPr>
      <w:bookmarkStart w:id="3" w:name="_Toc139890980"/>
      <w:r w:rsidRPr="00087B70">
        <w:rPr>
          <w:rFonts w:asciiTheme="minorEastAsia" w:eastAsiaTheme="minorEastAsia" w:hAnsiTheme="minorEastAsia" w:hint="eastAsia"/>
          <w:b/>
          <w:bCs/>
          <w:color w:val="333333"/>
        </w:rPr>
        <w:t>如何预防手足口病最有效？上海疾控解答</w:t>
      </w:r>
      <w:bookmarkEnd w:id="3"/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(2023-06-29    人民网)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 人民网北京6月29日电 （记者乔业琼）手足口病是肠道病毒感染引起的儿童常见传染病，有明显季节性，并呈现双高峰，春、夏季（4-7月）为主高峰，秋季（9-11月）为小高峰。上海疾控微信公众号发文称，上半年的手足口高发季还没结束，并提醒广大家长要及时给孩子接种疫苗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手足口病的新“罪魁祸首”：CV-A6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手足口病的主要致病原是多种类型的肠道病毒，包括柯萨奇病毒（CV）A组4-7、9、10、16型和B组1-3、5型，埃可病毒的部分血清型和肠道病毒71型（EV71）等，其中EV71和CV-A16这两种毒株多年来一直是手足口病的主要病原体，但近年来CV-A6已逐渐成为国内外手足口病暴发的主要病原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现有的手足口（EV71）疫苗能预防所有手足口病吗？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目前预防手足口病的EV71疫苗，可以预防由EV71病毒感染引起的手足口病，以及由它引起的其他上呼吸道感染、肠胃炎、疱疹性咽峡炎等，但对于CV-A16和其他肠道病毒感染导致的手足口病没有预防作用。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是否有必要接种EV71疫苗？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有！因为肠道病毒EV71是导致重症和死亡的主要病原。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手足口病是学龄前儿童的高发传染病，临床上分为轻症病例和重症病例，轻症患儿经对症治疗后大多数预后良好，一般在1周内痊愈，无后遗症。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少数患儿，尤其是3岁以下、EV71病毒感染的儿童，发病后可能累及呼吸系统、循环系统、中枢系统等，一旦发展为重症病死率较高。研究发现，EV71感染在手足口病重症和死亡病例中占绝大多数，分别占70.03%和92.23%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因此，尽管接种EV71疫苗无法预防所有手足口病，但对于预防手足口病重症和死亡的发生意义重大。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EV71疫苗有效吗？安全吗？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研究表明，EV71疫苗具有良好的免疫原性和保护效果。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接种2剂次后，对于EV71感染相关的手足口病保护效果在90%以上。不同基因型毒株的免疫原性研究结果显示，疫苗株对EV71不同基因型和亚型具有交叉保护作用。接种后两年的观察结果显示，中和抗体水平和临床保护效果仍然维持在较高水平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EV71疫苗良好的安全性在大量人群研究中也得到证实，大多数不良反应为轻度和中度，且大多数为发热、局部反应等常见不良反应，发生率均在5%以下。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宝宝多大可以接种EV71疫苗？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可用于6月龄至5岁儿童，不同疫苗产品的适用年龄有所不同，以疫苗产品说明书为准。预防EV71感染所致的手足口病，基础免疫程序为2剂次，间隔1个月接种，鼓励在12月龄前完成接种为最佳。由于5-11月龄婴儿获得的母传抗体处于最低水平，而手足口病在1-2岁为发病高峰，因此建议≥6月龄的儿童尽早接种EV71疫苗，越早接种越好，以发挥最佳保护作用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对于5岁以上儿童，暂不推荐接种。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已经得过手足口病的宝宝，还需要接种吗？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手足口病可由上述多种肠道病毒引起，如果宝宝并非是由EV71病毒感染引起的手足口病，或者并不清楚具体由哪一型病毒感染引起手足口病，都可以接种EV71疫苗进行预防。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EV71疫苗可以和其他疫苗一起给宝宝接种吗？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EV71疫苗属于灭活疫苗，可在不同部位与其他疫苗同时接种。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接种EV71疫苗后如需接种其他疫苗，无特殊时间间隔要求。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EV71疫苗属于非免疫规划疫苗，若与免疫规划疫苗接种时间冲突，仍应优先保证免疫规划疫苗的接种。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有这些情况，请慎重考虑接种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已知对 EV71 疫苗任何一种成分过敏者不得接种，发热、急性疾病期患者及慢性疾病急性发作患者暂缓接种。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如有下列情况，应在接种前慎重考虑：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一是患有血小板减少症或者出血性疾病者，肌肉注射本疫苗可能会引起注射部位出血。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二是正在接受免疫抑制治疗或免疫功能缺陷的患者，接种本疫苗产生的免疫应答可能会减弱。接种应推迟到治疗结束后或确保其得到了很好的保护。但对慢性免疫功能缺陷的患者，即使基础疾病可能会使免疫应答受限，也应推荐接种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三是未控制的癫痫患者和其他进行性神经系统疾病（如格林巴利综合征等）患者，应慎重考虑是否接种该疫苗。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t>四是其他禁忌和慎用情况，可参考疫苗说明书。</w:t>
      </w:r>
    </w:p>
    <w:p w:rsidR="00087B70" w:rsidRPr="00087B70" w:rsidRDefault="00087B70" w:rsidP="00087B70">
      <w:pPr>
        <w:pStyle w:val="a7"/>
        <w:adjustRightInd w:val="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87B70">
        <w:rPr>
          <w:rFonts w:asciiTheme="minorEastAsia" w:eastAsiaTheme="minorEastAsia" w:hAnsiTheme="minorEastAsia" w:hint="eastAsia"/>
          <w:color w:val="333333"/>
          <w:sz w:val="21"/>
          <w:szCs w:val="21"/>
        </w:rPr>
        <w:lastRenderedPageBreak/>
        <w:t>摘引网址：http://health.people.com.cn/n1/2023/0629/c14739-40023804.html</w:t>
      </w:r>
    </w:p>
    <w:p w:rsidR="00A03BD4" w:rsidRPr="00087B70" w:rsidRDefault="00A03BD4" w:rsidP="00087B70">
      <w:pPr>
        <w:pStyle w:val="a7"/>
        <w:adjustRightInd w:val="0"/>
        <w:snapToGrid w:val="0"/>
        <w:spacing w:before="0" w:beforeAutospacing="0" w:after="0" w:afterAutospacing="0" w:line="360" w:lineRule="auto"/>
        <w:outlineLvl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A03BD4" w:rsidRPr="00087B70" w:rsidSect="00D93881">
      <w:footerReference w:type="default" r:id="rId7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E9" w:rsidRDefault="005B2CE9" w:rsidP="003C6FFE">
      <w:r>
        <w:separator/>
      </w:r>
    </w:p>
  </w:endnote>
  <w:endnote w:type="continuationSeparator" w:id="1">
    <w:p w:rsidR="005B2CE9" w:rsidRDefault="005B2CE9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B30FDA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333ACA" w:rsidRPr="00333ACA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5B2C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E9" w:rsidRDefault="005B2CE9" w:rsidP="003C6FFE">
      <w:r>
        <w:separator/>
      </w:r>
    </w:p>
  </w:footnote>
  <w:footnote w:type="continuationSeparator" w:id="1">
    <w:p w:rsidR="005B2CE9" w:rsidRDefault="005B2CE9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25DFB"/>
    <w:rsid w:val="000327A7"/>
    <w:rsid w:val="00037C23"/>
    <w:rsid w:val="00087B70"/>
    <w:rsid w:val="00095C88"/>
    <w:rsid w:val="000A2242"/>
    <w:rsid w:val="000C2BC9"/>
    <w:rsid w:val="000E15D1"/>
    <w:rsid w:val="00100759"/>
    <w:rsid w:val="00110C99"/>
    <w:rsid w:val="00113C81"/>
    <w:rsid w:val="001428DD"/>
    <w:rsid w:val="001448B3"/>
    <w:rsid w:val="0015344F"/>
    <w:rsid w:val="00160977"/>
    <w:rsid w:val="001A11A0"/>
    <w:rsid w:val="001B3B90"/>
    <w:rsid w:val="001C19E3"/>
    <w:rsid w:val="001E6BD4"/>
    <w:rsid w:val="001F7D14"/>
    <w:rsid w:val="002270A5"/>
    <w:rsid w:val="00251D95"/>
    <w:rsid w:val="00253E7F"/>
    <w:rsid w:val="00254276"/>
    <w:rsid w:val="002578F8"/>
    <w:rsid w:val="002769C3"/>
    <w:rsid w:val="002A284F"/>
    <w:rsid w:val="002B2B0A"/>
    <w:rsid w:val="002C161A"/>
    <w:rsid w:val="002C228E"/>
    <w:rsid w:val="002E5E98"/>
    <w:rsid w:val="002F1E9A"/>
    <w:rsid w:val="00333ACA"/>
    <w:rsid w:val="00361836"/>
    <w:rsid w:val="00396F30"/>
    <w:rsid w:val="003A2C3D"/>
    <w:rsid w:val="003A3475"/>
    <w:rsid w:val="003C6FFE"/>
    <w:rsid w:val="003F6543"/>
    <w:rsid w:val="00420B43"/>
    <w:rsid w:val="0043442B"/>
    <w:rsid w:val="00457831"/>
    <w:rsid w:val="004835EC"/>
    <w:rsid w:val="0049345A"/>
    <w:rsid w:val="004B465C"/>
    <w:rsid w:val="004B7CC3"/>
    <w:rsid w:val="004D12A3"/>
    <w:rsid w:val="00504C27"/>
    <w:rsid w:val="00542B65"/>
    <w:rsid w:val="005650E9"/>
    <w:rsid w:val="005963E2"/>
    <w:rsid w:val="00596768"/>
    <w:rsid w:val="005B2CE9"/>
    <w:rsid w:val="005D4871"/>
    <w:rsid w:val="005F0E31"/>
    <w:rsid w:val="005F2015"/>
    <w:rsid w:val="005F2E0F"/>
    <w:rsid w:val="005F641C"/>
    <w:rsid w:val="0060638A"/>
    <w:rsid w:val="00657ECB"/>
    <w:rsid w:val="00660071"/>
    <w:rsid w:val="00661A98"/>
    <w:rsid w:val="0067503F"/>
    <w:rsid w:val="006B3BD9"/>
    <w:rsid w:val="006B7438"/>
    <w:rsid w:val="006B7568"/>
    <w:rsid w:val="006B7D3C"/>
    <w:rsid w:val="006C7AB3"/>
    <w:rsid w:val="006E7F6B"/>
    <w:rsid w:val="007179D6"/>
    <w:rsid w:val="00726786"/>
    <w:rsid w:val="00760098"/>
    <w:rsid w:val="00765697"/>
    <w:rsid w:val="00765808"/>
    <w:rsid w:val="0077189D"/>
    <w:rsid w:val="00785BE5"/>
    <w:rsid w:val="007B248D"/>
    <w:rsid w:val="007B4BC9"/>
    <w:rsid w:val="007C5DFF"/>
    <w:rsid w:val="007C5FB6"/>
    <w:rsid w:val="007E397E"/>
    <w:rsid w:val="00815E71"/>
    <w:rsid w:val="008B1392"/>
    <w:rsid w:val="008D58E1"/>
    <w:rsid w:val="008D6947"/>
    <w:rsid w:val="008F6471"/>
    <w:rsid w:val="009116B1"/>
    <w:rsid w:val="00924330"/>
    <w:rsid w:val="00927108"/>
    <w:rsid w:val="00935F62"/>
    <w:rsid w:val="009441E5"/>
    <w:rsid w:val="009470C4"/>
    <w:rsid w:val="009573A7"/>
    <w:rsid w:val="00987BE4"/>
    <w:rsid w:val="009964C3"/>
    <w:rsid w:val="009A58E3"/>
    <w:rsid w:val="009B4342"/>
    <w:rsid w:val="009B55F1"/>
    <w:rsid w:val="009D2E89"/>
    <w:rsid w:val="009D3FE9"/>
    <w:rsid w:val="009D50C1"/>
    <w:rsid w:val="009E5118"/>
    <w:rsid w:val="00A03BD4"/>
    <w:rsid w:val="00A11314"/>
    <w:rsid w:val="00A20605"/>
    <w:rsid w:val="00A22B30"/>
    <w:rsid w:val="00A37B02"/>
    <w:rsid w:val="00A52526"/>
    <w:rsid w:val="00A601DC"/>
    <w:rsid w:val="00A9187A"/>
    <w:rsid w:val="00B250B4"/>
    <w:rsid w:val="00B30FDA"/>
    <w:rsid w:val="00B43769"/>
    <w:rsid w:val="00B542A4"/>
    <w:rsid w:val="00B95810"/>
    <w:rsid w:val="00B9703D"/>
    <w:rsid w:val="00BB7308"/>
    <w:rsid w:val="00BD3F55"/>
    <w:rsid w:val="00BE177B"/>
    <w:rsid w:val="00BE6B56"/>
    <w:rsid w:val="00BF5C4B"/>
    <w:rsid w:val="00C179B1"/>
    <w:rsid w:val="00C500D7"/>
    <w:rsid w:val="00C51691"/>
    <w:rsid w:val="00C56048"/>
    <w:rsid w:val="00C83C16"/>
    <w:rsid w:val="00C97D29"/>
    <w:rsid w:val="00CA5296"/>
    <w:rsid w:val="00CB30D5"/>
    <w:rsid w:val="00CF245C"/>
    <w:rsid w:val="00D02D0A"/>
    <w:rsid w:val="00D23AED"/>
    <w:rsid w:val="00D26E66"/>
    <w:rsid w:val="00D45D06"/>
    <w:rsid w:val="00D52387"/>
    <w:rsid w:val="00D5385B"/>
    <w:rsid w:val="00D641D2"/>
    <w:rsid w:val="00D74EF0"/>
    <w:rsid w:val="00D9480C"/>
    <w:rsid w:val="00DA03DE"/>
    <w:rsid w:val="00DD6040"/>
    <w:rsid w:val="00E01439"/>
    <w:rsid w:val="00E0302F"/>
    <w:rsid w:val="00E1158F"/>
    <w:rsid w:val="00E15033"/>
    <w:rsid w:val="00E2628A"/>
    <w:rsid w:val="00E4610B"/>
    <w:rsid w:val="00E76545"/>
    <w:rsid w:val="00EA22B1"/>
    <w:rsid w:val="00EA69C8"/>
    <w:rsid w:val="00ED6611"/>
    <w:rsid w:val="00EE11F4"/>
    <w:rsid w:val="00EF6B08"/>
    <w:rsid w:val="00F0006C"/>
    <w:rsid w:val="00F15C1D"/>
    <w:rsid w:val="00F55AF7"/>
    <w:rsid w:val="00FA342A"/>
    <w:rsid w:val="00FB6F99"/>
    <w:rsid w:val="00FE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9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D26E66"/>
    <w:pPr>
      <w:tabs>
        <w:tab w:val="right" w:leader="dot" w:pos="8834"/>
      </w:tabs>
      <w:adjustRightInd w:val="0"/>
      <w:snapToGrid w:val="0"/>
      <w:spacing w:line="360" w:lineRule="auto"/>
      <w:jc w:val="left"/>
    </w:pPr>
    <w:rPr>
      <w:rFonts w:ascii="宋体" w:eastAsia="宋体" w:hAnsi="宋体"/>
      <w:b/>
      <w:color w:val="000000" w:themeColor="text1"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C2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C19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9984-6A2C-4F53-BE98-D190B628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842</Words>
  <Characters>4801</Characters>
  <Application>Microsoft Office Word</Application>
  <DocSecurity>0</DocSecurity>
  <Lines>40</Lines>
  <Paragraphs>11</Paragraphs>
  <ScaleCrop>false</ScaleCrop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2023-03-02T02:30:00Z</cp:lastPrinted>
  <dcterms:created xsi:type="dcterms:W3CDTF">2023-07-27T03:03:00Z</dcterms:created>
  <dcterms:modified xsi:type="dcterms:W3CDTF">2023-10-08T01:13:00Z</dcterms:modified>
</cp:coreProperties>
</file>