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36"/>
        </w:rPr>
      </w:pPr>
    </w:p>
    <w:p>
      <w:pPr>
        <w:spacing w:line="560" w:lineRule="exact"/>
        <w:jc w:val="center"/>
        <w:rPr>
          <w:rFonts w:hint="eastAsia" w:ascii="Times New Roman" w:hAnsi="Times New Roman" w:eastAsia="方正小标宋简体" w:cs="Times New Roman"/>
          <w:sz w:val="36"/>
        </w:rPr>
      </w:pPr>
      <w:r>
        <w:rPr>
          <w:rFonts w:hint="eastAsia" w:ascii="Times New Roman" w:hAnsi="Times New Roman" w:eastAsia="方正小标宋简体" w:cs="Times New Roman"/>
          <w:sz w:val="36"/>
        </w:rPr>
        <w:t>新津区疾控中心委</w:t>
      </w:r>
      <w:r>
        <w:rPr>
          <w:rFonts w:hint="eastAsia" w:ascii="Times New Roman" w:hAnsi="Times New Roman" w:eastAsia="方正小标宋简体" w:cs="Times New Roman"/>
          <w:sz w:val="36"/>
          <w:lang w:val="en-US" w:eastAsia="zh-CN"/>
        </w:rPr>
        <w:t>托</w:t>
      </w:r>
      <w:r>
        <w:rPr>
          <w:rFonts w:hint="eastAsia" w:ascii="Times New Roman" w:hAnsi="Times New Roman" w:eastAsia="方正小标宋简体" w:cs="Times New Roman"/>
          <w:sz w:val="36"/>
        </w:rPr>
        <w:t>社会组织开展中小微型企业</w:t>
      </w:r>
    </w:p>
    <w:p>
      <w:pPr>
        <w:spacing w:line="560" w:lineRule="exact"/>
        <w:jc w:val="center"/>
        <w:rPr>
          <w:rFonts w:ascii="Times New Roman" w:hAnsi="Times New Roman" w:eastAsia="方正小标宋简体" w:cs="Times New Roman"/>
          <w:sz w:val="36"/>
        </w:rPr>
      </w:pPr>
      <w:r>
        <w:rPr>
          <w:rFonts w:hint="eastAsia" w:ascii="Times New Roman" w:hAnsi="Times New Roman" w:eastAsia="方正小标宋简体" w:cs="Times New Roman"/>
          <w:sz w:val="36"/>
        </w:rPr>
        <w:t>职业健康帮扶</w:t>
      </w:r>
      <w:r>
        <w:rPr>
          <w:rFonts w:ascii="Times New Roman" w:hAnsi="Times New Roman" w:eastAsia="方正小标宋简体" w:cs="Times New Roman"/>
          <w:sz w:val="36"/>
        </w:rPr>
        <w:t>项目</w:t>
      </w:r>
      <w:r>
        <w:rPr>
          <w:rFonts w:hint="eastAsia" w:ascii="Times New Roman" w:hAnsi="Times New Roman" w:eastAsia="方正小标宋简体" w:cs="Times New Roman"/>
          <w:sz w:val="36"/>
          <w:lang w:val="en-US" w:eastAsia="zh-CN"/>
        </w:rPr>
        <w:t>的</w:t>
      </w:r>
      <w:r>
        <w:rPr>
          <w:rFonts w:hint="eastAsia" w:ascii="Times New Roman" w:hAnsi="Times New Roman" w:eastAsia="方正小标宋简体" w:cs="Times New Roman"/>
          <w:sz w:val="36"/>
        </w:rPr>
        <w:t>询价函</w:t>
      </w:r>
    </w:p>
    <w:p>
      <w:pPr>
        <w:spacing w:line="560" w:lineRule="exact"/>
        <w:rPr>
          <w:rFonts w:ascii="Times New Roman" w:hAnsi="Times New Roman" w:cs="Times New Roman"/>
        </w:rPr>
      </w:pPr>
    </w:p>
    <w:p>
      <w:pPr>
        <w:pageBreakBefore w:val="0"/>
        <w:widowControl/>
        <w:kinsoku/>
        <w:wordWrap/>
        <w:overflowPunct/>
        <w:topLinePunct w:val="0"/>
        <w:autoSpaceDE/>
        <w:autoSpaceDN/>
        <w:bidi w:val="0"/>
        <w:adjustRightInd w:val="0"/>
        <w:snapToGrid w:val="0"/>
        <w:spacing w:line="600" w:lineRule="atLeas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color w:val="000000" w:themeColor="text1"/>
          <w:sz w:val="32"/>
          <w:szCs w:val="32"/>
          <w14:textFill>
            <w14:solidFill>
              <w14:schemeClr w14:val="tx1"/>
            </w14:solidFill>
          </w14:textFill>
        </w:rPr>
        <w:t>根据我区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职业卫生</w:t>
      </w:r>
      <w:r>
        <w:rPr>
          <w:rFonts w:ascii="Times New Roman" w:hAnsi="Times New Roman" w:eastAsia="仿宋_GB2312" w:cs="Times New Roman"/>
          <w:color w:val="000000" w:themeColor="text1"/>
          <w:sz w:val="32"/>
          <w:szCs w:val="32"/>
          <w14:textFill>
            <w14:solidFill>
              <w14:schemeClr w14:val="tx1"/>
            </w14:solidFill>
          </w14:textFill>
        </w:rPr>
        <w:t>工作实际</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情况</w:t>
      </w:r>
      <w:r>
        <w:rPr>
          <w:rFonts w:ascii="Times New Roman" w:hAnsi="Times New Roman" w:eastAsia="仿宋_GB2312" w:cs="Times New Roman"/>
          <w:color w:val="000000" w:themeColor="text1"/>
          <w:sz w:val="32"/>
          <w:szCs w:val="32"/>
          <w14:textFill>
            <w14:solidFill>
              <w14:schemeClr w14:val="tx1"/>
            </w14:solidFill>
          </w14:textFill>
        </w:rPr>
        <w:t>，结合《</w:t>
      </w:r>
      <w:r>
        <w:rPr>
          <w:rFonts w:ascii="Times New Roman" w:hAnsi="Times New Roman" w:eastAsia="仿宋_GB2312" w:cs="Times New Roman"/>
          <w:color w:val="000000" w:themeColor="text1"/>
          <w:sz w:val="32"/>
          <w:szCs w:val="32"/>
          <w:lang w:eastAsia="zh-CN"/>
          <w14:textFill>
            <w14:solidFill>
              <w14:schemeClr w14:val="tx1"/>
            </w14:solidFill>
          </w14:textFill>
        </w:rPr>
        <w:t>成都市新津区202</w:t>
      </w:r>
      <w:r>
        <w:rPr>
          <w:rFonts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lang w:eastAsia="zh-CN"/>
          <w14:textFill>
            <w14:solidFill>
              <w14:schemeClr w14:val="tx1"/>
            </w14:solidFill>
          </w14:textFill>
        </w:rPr>
        <w:t>年中小微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型企业职业健康帮扶工作技术方案</w:t>
      </w:r>
      <w:r>
        <w:rPr>
          <w:rFonts w:hint="eastAsia" w:ascii="Times New Roman" w:hAnsi="Times New Roman" w:eastAsia="仿宋_GB2312" w:cs="Times New Roman"/>
          <w:color w:val="000000" w:themeColor="text1"/>
          <w:sz w:val="32"/>
          <w:szCs w:val="32"/>
          <w14:textFill>
            <w14:solidFill>
              <w14:schemeClr w14:val="tx1"/>
            </w14:solidFill>
          </w14:textFill>
        </w:rPr>
        <w:t>》等文件的要</w:t>
      </w:r>
      <w:r>
        <w:rPr>
          <w:rFonts w:ascii="Times New Roman" w:hAnsi="Times New Roman" w:eastAsia="仿宋_GB2312" w:cs="Times New Roman"/>
          <w:color w:val="000000" w:themeColor="text1"/>
          <w:sz w:val="32"/>
          <w:szCs w:val="32"/>
          <w14:textFill>
            <w14:solidFill>
              <w14:schemeClr w14:val="tx1"/>
            </w14:solidFill>
          </w14:textFill>
        </w:rPr>
        <w:t>求，</w:t>
      </w:r>
      <w:r>
        <w:rPr>
          <w:rFonts w:ascii="Times New Roman" w:hAnsi="Times New Roman" w:eastAsia="仿宋_GB2312" w:cs="Times New Roman"/>
          <w:kern w:val="0"/>
          <w:sz w:val="32"/>
          <w:szCs w:val="32"/>
        </w:rPr>
        <w:t>新津区疾病预防控制中心决定委托</w:t>
      </w:r>
      <w:r>
        <w:rPr>
          <w:rFonts w:hint="eastAsia" w:ascii="Times New Roman" w:hAnsi="Times New Roman" w:eastAsia="仿宋_GB2312" w:cs="Times New Roman"/>
          <w:kern w:val="0"/>
          <w:sz w:val="32"/>
          <w:szCs w:val="32"/>
          <w:lang w:val="en-US" w:eastAsia="zh-CN"/>
        </w:rPr>
        <w:t>社会组织开展中小微型企业职业健康帮扶项目工作</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有意向的社会组织根据《成都市新津区中小</w:t>
      </w:r>
      <w:bookmarkStart w:id="1" w:name="_GoBack"/>
      <w:bookmarkEnd w:id="1"/>
      <w:r>
        <w:rPr>
          <w:rFonts w:hint="eastAsia" w:ascii="Times New Roman" w:hAnsi="Times New Roman" w:eastAsia="仿宋_GB2312" w:cs="Times New Roman"/>
          <w:kern w:val="0"/>
          <w:sz w:val="32"/>
          <w:szCs w:val="32"/>
          <w:lang w:val="en-US" w:eastAsia="zh-CN"/>
        </w:rPr>
        <w:t>微型企业职业健康帮扶项目申请指南》对</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sz w:val="32"/>
          <w:szCs w:val="32"/>
        </w:rPr>
        <w:t>新津区</w:t>
      </w:r>
      <w:r>
        <w:rPr>
          <w:rFonts w:hint="eastAsia" w:ascii="Times New Roman" w:hAnsi="Times New Roman" w:eastAsia="仿宋_GB2312" w:cs="Times New Roman"/>
          <w:color w:val="000000" w:themeColor="text1"/>
          <w:sz w:val="32"/>
          <w:szCs w:val="32"/>
          <w14:textFill>
            <w14:solidFill>
              <w14:schemeClr w14:val="tx1"/>
            </w14:solidFill>
          </w14:textFill>
        </w:rPr>
        <w:t>中小微型企业职业健康帮扶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项目</w:t>
      </w:r>
      <w:r>
        <w:rPr>
          <w:rFonts w:hint="eastAsia" w:ascii="Times New Roman" w:hAnsi="Times New Roman" w:eastAsia="仿宋_GB2312" w:cs="Times New Roman"/>
          <w:kern w:val="0"/>
          <w:sz w:val="32"/>
          <w:szCs w:val="32"/>
          <w:lang w:val="en-US" w:eastAsia="zh-CN"/>
        </w:rPr>
        <w:t>进行</w:t>
      </w:r>
      <w:r>
        <w:rPr>
          <w:rFonts w:ascii="Times New Roman" w:hAnsi="Times New Roman" w:eastAsia="仿宋_GB2312" w:cs="Times New Roman"/>
          <w:sz w:val="32"/>
          <w:szCs w:val="32"/>
        </w:rPr>
        <w:t>公开申请</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《成都市新津区中小微型企业职业健康帮扶项目申请指南》</w:t>
      </w:r>
      <w:r>
        <w:rPr>
          <w:rFonts w:ascii="Times New Roman" w:hAnsi="Times New Roman" w:eastAsia="仿宋_GB2312" w:cs="Times New Roman"/>
          <w:kern w:val="0"/>
          <w:sz w:val="32"/>
          <w:szCs w:val="32"/>
        </w:rPr>
        <w:t>具体</w:t>
      </w:r>
      <w:r>
        <w:rPr>
          <w:rFonts w:hint="eastAsia" w:ascii="Times New Roman" w:hAnsi="Times New Roman" w:eastAsia="仿宋_GB2312" w:cs="Times New Roman"/>
          <w:kern w:val="0"/>
          <w:sz w:val="32"/>
          <w:szCs w:val="32"/>
          <w:lang w:val="en-US" w:eastAsia="zh-CN"/>
        </w:rPr>
        <w:t>内容</w:t>
      </w:r>
      <w:r>
        <w:rPr>
          <w:rFonts w:ascii="Times New Roman" w:hAnsi="Times New Roman" w:eastAsia="仿宋_GB2312" w:cs="Times New Roman"/>
          <w:kern w:val="0"/>
          <w:sz w:val="32"/>
          <w:szCs w:val="32"/>
        </w:rPr>
        <w:t>如下：</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一、目标</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发挥社会组织优势，</w:t>
      </w:r>
      <w:r>
        <w:rPr>
          <w:rFonts w:hint="eastAsia" w:ascii="仿宋_GB2312" w:hAnsi="仿宋_GB2312" w:eastAsia="仿宋_GB2312" w:cs="仿宋_GB2312"/>
          <w:sz w:val="32"/>
          <w:szCs w:val="32"/>
        </w:rPr>
        <w:t>推进健康成都行动，改善我市中小微型企业职业健康管理薄</w:t>
      </w:r>
      <w:r>
        <w:rPr>
          <w:rFonts w:hint="eastAsia" w:ascii="仿宋" w:hAnsi="仿宋" w:eastAsia="仿宋" w:cs="仿宋"/>
          <w:sz w:val="32"/>
          <w:szCs w:val="32"/>
        </w:rPr>
        <w:t>弱现状，引导和帮助中小微</w:t>
      </w:r>
      <w:r>
        <w:rPr>
          <w:rFonts w:hint="eastAsia" w:ascii="仿宋_GB2312" w:hAnsi="仿宋_GB2312" w:eastAsia="仿宋_GB2312" w:cs="仿宋_GB2312"/>
          <w:sz w:val="32"/>
          <w:szCs w:val="32"/>
        </w:rPr>
        <w:t>型</w:t>
      </w:r>
      <w:r>
        <w:rPr>
          <w:rFonts w:hint="eastAsia" w:ascii="仿宋" w:hAnsi="仿宋" w:eastAsia="仿宋" w:cs="仿宋"/>
          <w:sz w:val="32"/>
          <w:szCs w:val="32"/>
        </w:rPr>
        <w:t>企业有效预防和控制职业病危害，不断改善工作场所劳动条件，增强劳动者职业健康防护意识，提升职业健康管理水平</w:t>
      </w:r>
      <w:r>
        <w:rPr>
          <w:rFonts w:ascii="Times New Roman"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二、申请原则</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w:t>
      </w:r>
      <w:r>
        <w:rPr>
          <w:rFonts w:ascii="Times New Roman" w:hAnsi="Times New Roman" w:eastAsia="仿宋_GB2312" w:cs="Times New Roman"/>
          <w:sz w:val="32"/>
          <w:szCs w:val="32"/>
        </w:rPr>
        <w:t>坚持公平、公正和透明的原则，通过公开申请、平等竞争、专家评审、公示结果、择优支持的方式确定资助项目。</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w:t>
      </w:r>
      <w:r>
        <w:rPr>
          <w:rFonts w:ascii="Times New Roman" w:hAnsi="Times New Roman" w:eastAsia="仿宋_GB2312" w:cs="Times New Roman"/>
          <w:sz w:val="32"/>
          <w:szCs w:val="32"/>
        </w:rPr>
        <w:t>申报机构与当地政府部门、专业机构、社会组织有良好的合作关系。</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w:t>
      </w:r>
      <w:r>
        <w:rPr>
          <w:rFonts w:ascii="Times New Roman" w:hAnsi="Times New Roman" w:eastAsia="仿宋_GB2312" w:cs="Times New Roman"/>
          <w:sz w:val="32"/>
          <w:szCs w:val="32"/>
        </w:rPr>
        <w:t>加强项目与其它基金的</w:t>
      </w:r>
      <w:r>
        <w:rPr>
          <w:rFonts w:hint="eastAsia" w:ascii="Times New Roman" w:hAnsi="Times New Roman" w:eastAsia="仿宋_GB2312" w:cs="Times New Roman"/>
          <w:sz w:val="32"/>
          <w:szCs w:val="32"/>
          <w:lang w:eastAsia="zh-CN"/>
        </w:rPr>
        <w:t>中小微型企业职业健康帮扶</w:t>
      </w:r>
      <w:r>
        <w:rPr>
          <w:rFonts w:ascii="Times New Roman" w:hAnsi="Times New Roman" w:eastAsia="仿宋_GB2312" w:cs="Times New Roman"/>
          <w:sz w:val="32"/>
          <w:szCs w:val="32"/>
        </w:rPr>
        <w:t>项目统筹协调，避免重复投入和资金浪费。</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w:t>
      </w:r>
      <w:r>
        <w:rPr>
          <w:rFonts w:ascii="Times New Roman" w:hAnsi="Times New Roman" w:eastAsia="仿宋_GB2312" w:cs="Times New Roman"/>
          <w:sz w:val="32"/>
          <w:szCs w:val="32"/>
        </w:rPr>
        <w:t>针对目标人群的</w:t>
      </w:r>
      <w:r>
        <w:rPr>
          <w:rFonts w:hint="eastAsia" w:ascii="Times New Roman" w:hAnsi="Times New Roman" w:eastAsia="仿宋_GB2312" w:cs="Times New Roman"/>
          <w:sz w:val="32"/>
          <w:szCs w:val="32"/>
          <w:lang w:eastAsia="zh-CN"/>
        </w:rPr>
        <w:t>中小微型企业职业健康帮扶</w:t>
      </w:r>
      <w:r>
        <w:rPr>
          <w:rFonts w:ascii="Times New Roman" w:hAnsi="Times New Roman" w:eastAsia="仿宋_GB2312" w:cs="Times New Roman"/>
          <w:sz w:val="32"/>
          <w:szCs w:val="32"/>
        </w:rPr>
        <w:t>需求，设计合理的项目活动。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三、经费预算</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年公开申请的项目总预算为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需帮扶中小微型企业为20家</w:t>
      </w:r>
      <w:r>
        <w:rPr>
          <w:rFonts w:ascii="Times New Roman" w:hAnsi="Times New Roman" w:eastAsia="仿宋_GB2312" w:cs="Times New Roman"/>
          <w:sz w:val="32"/>
          <w:szCs w:val="32"/>
        </w:rPr>
        <w:t>。项目执行周期</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个月（202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月至202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月）。项目经费不支持科学研究、设备购买、人员工资，不支持超越机构业务范围和活动区域开展活动。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四、支持活动及要求</w:t>
      </w:r>
    </w:p>
    <w:p>
      <w:pPr>
        <w:overflowPunct w:val="0"/>
        <w:spacing w:line="600" w:lineRule="exact"/>
        <w:ind w:firstLine="640" w:firstLineChars="200"/>
        <w:contextualSpacing/>
        <w:jc w:val="both"/>
        <w:rPr>
          <w:rFonts w:ascii="Times New Roman" w:hAnsi="Times New Roman" w:eastAsia="仿宋_GB2312" w:cs="Times New Roman"/>
          <w:sz w:val="32"/>
          <w:szCs w:val="32"/>
          <w:u w:val="none"/>
          <w:lang w:val="en-US" w:eastAsia="zh-CN"/>
        </w:rPr>
      </w:pPr>
      <w:r>
        <w:rPr>
          <w:rFonts w:ascii="Times New Roman" w:hAnsi="Times New Roman" w:eastAsia="仿宋_GB2312" w:cs="Times New Roman"/>
          <w:sz w:val="32"/>
          <w:szCs w:val="32"/>
          <w:u w:val="none"/>
          <w:lang w:val="en-US" w:eastAsia="zh-CN"/>
        </w:rPr>
        <w:t>（一）开展问题排查。</w:t>
      </w:r>
      <w:r>
        <w:rPr>
          <w:rFonts w:hint="eastAsia" w:ascii="Times New Roman" w:hAnsi="Times New Roman" w:eastAsia="仿宋_GB2312" w:cs="Times New Roman"/>
          <w:sz w:val="32"/>
          <w:szCs w:val="32"/>
          <w:u w:val="none"/>
          <w:lang w:val="en-US" w:eastAsia="zh-CN"/>
        </w:rPr>
        <w:t>项目执行机构</w:t>
      </w:r>
      <w:r>
        <w:rPr>
          <w:rFonts w:ascii="Times New Roman" w:hAnsi="Times New Roman" w:eastAsia="仿宋_GB2312" w:cs="Times New Roman"/>
          <w:sz w:val="32"/>
          <w:szCs w:val="32"/>
          <w:u w:val="none"/>
          <w:lang w:val="en-US" w:eastAsia="zh-CN"/>
        </w:rPr>
        <w:t>人员进入企业，开展现场摸底调查并列出问题清单，建立问题整改台账，指导企业“一企一策”制定技术整改方案，拟定实施计划。</w:t>
      </w:r>
      <w:r>
        <w:rPr>
          <w:rFonts w:hint="eastAsia" w:ascii="Times New Roman" w:hAnsi="Times New Roman" w:eastAsia="仿宋_GB2312" w:cs="Times New Roman"/>
          <w:sz w:val="32"/>
          <w:szCs w:val="32"/>
          <w:u w:val="none"/>
          <w:lang w:val="en-US" w:eastAsia="zh-CN"/>
        </w:rPr>
        <w:t>项目执行机构开展现场调查，结合企业生产工艺和生产过程使用的原、辅材料，分析识别该企业存在和产生的职业病危害因素，分析和评价职业病危害因素产生的健康影响，填写《成都市中小微型企业帮扶现场调查表》；根据</w:t>
      </w:r>
      <w:r>
        <w:rPr>
          <w:rFonts w:ascii="Times New Roman" w:hAnsi="Times New Roman" w:eastAsia="仿宋_GB2312" w:cs="Times New Roman"/>
          <w:sz w:val="32"/>
          <w:szCs w:val="32"/>
          <w:u w:val="none"/>
          <w:lang w:val="en-US" w:eastAsia="zh-CN"/>
        </w:rPr>
        <w:t>调查结果</w:t>
      </w:r>
      <w:r>
        <w:rPr>
          <w:rFonts w:hint="eastAsia" w:ascii="Times New Roman" w:hAnsi="Times New Roman" w:eastAsia="仿宋_GB2312" w:cs="Times New Roman"/>
          <w:sz w:val="32"/>
          <w:szCs w:val="32"/>
          <w:u w:val="none"/>
          <w:lang w:val="en-US" w:eastAsia="zh-CN"/>
        </w:rPr>
        <w:t>列出问题清单，内容包括：企业基本信息、存在问题及帮扶措施等，按照《成都市中小微型企业职业健康技术帮扶记录表》逐条对照，如实填写；将不符合或欠缺内容详尽记录，若发现的问题在记录表中未涉及，则另行补充说明。</w:t>
      </w:r>
    </w:p>
    <w:p>
      <w:pPr>
        <w:overflowPunct w:val="0"/>
        <w:spacing w:line="600" w:lineRule="exact"/>
        <w:ind w:firstLine="640" w:firstLineChars="200"/>
        <w:contextualSpacing/>
        <w:jc w:val="both"/>
        <w:rPr>
          <w:rFonts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（二）</w:t>
      </w:r>
      <w:r>
        <w:rPr>
          <w:rFonts w:ascii="Times New Roman" w:hAnsi="Times New Roman" w:eastAsia="仿宋_GB2312" w:cs="Times New Roman"/>
          <w:sz w:val="32"/>
          <w:szCs w:val="32"/>
          <w:u w:val="none"/>
          <w:lang w:val="en-US" w:eastAsia="zh-CN"/>
        </w:rPr>
        <w:t>指导问题整改。建立与帮扶企业工作联系机制，及时回应企业需求，特别是问题整改过程中的技术指导需求。建立问题反馈及协调机制，及时反馈、协调解决帮扶过程中存在的重点难点问题。</w:t>
      </w:r>
      <w:r>
        <w:rPr>
          <w:rFonts w:hint="eastAsia" w:ascii="Times New Roman" w:hAnsi="Times New Roman" w:eastAsia="仿宋_GB2312" w:cs="Times New Roman"/>
          <w:sz w:val="32"/>
          <w:szCs w:val="32"/>
          <w:u w:val="none"/>
          <w:lang w:val="en-US" w:eastAsia="zh-CN"/>
        </w:rPr>
        <w:t>帮扶项目</w:t>
      </w:r>
      <w:r>
        <w:rPr>
          <w:rFonts w:ascii="Times New Roman" w:hAnsi="Times New Roman" w:eastAsia="仿宋_GB2312" w:cs="Times New Roman"/>
          <w:sz w:val="32"/>
          <w:szCs w:val="32"/>
          <w:u w:val="none"/>
          <w:lang w:val="en-US" w:eastAsia="zh-CN"/>
        </w:rPr>
        <w:t xml:space="preserve">原则上在 </w:t>
      </w:r>
      <w:r>
        <w:rPr>
          <w:rFonts w:hint="eastAsia" w:ascii="Times New Roman" w:hAnsi="Times New Roman" w:eastAsia="仿宋_GB2312" w:cs="Times New Roman"/>
          <w:sz w:val="32"/>
          <w:szCs w:val="32"/>
          <w:u w:val="none"/>
          <w:lang w:val="en-US" w:eastAsia="zh-CN"/>
        </w:rPr>
        <w:t>9</w:t>
      </w:r>
      <w:r>
        <w:rPr>
          <w:rFonts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none"/>
          <w:lang w:val="en-US" w:eastAsia="zh-CN"/>
        </w:rPr>
        <w:t>30</w:t>
      </w:r>
      <w:r>
        <w:rPr>
          <w:rFonts w:ascii="Times New Roman" w:hAnsi="Times New Roman" w:eastAsia="仿宋_GB2312" w:cs="Times New Roman"/>
          <w:sz w:val="32"/>
          <w:szCs w:val="32"/>
          <w:u w:val="none"/>
          <w:lang w:val="en-US" w:eastAsia="zh-CN"/>
        </w:rPr>
        <w:t>日前</w:t>
      </w:r>
      <w:r>
        <w:rPr>
          <w:rFonts w:hint="eastAsia" w:ascii="Times New Roman" w:hAnsi="Times New Roman" w:eastAsia="仿宋_GB2312" w:cs="Times New Roman"/>
          <w:sz w:val="32"/>
          <w:szCs w:val="32"/>
          <w:u w:val="none"/>
          <w:lang w:val="en-US" w:eastAsia="zh-CN"/>
        </w:rPr>
        <w:t>全面</w:t>
      </w:r>
      <w:r>
        <w:rPr>
          <w:rFonts w:ascii="Times New Roman" w:hAnsi="Times New Roman" w:eastAsia="仿宋_GB2312" w:cs="Times New Roman"/>
          <w:sz w:val="32"/>
          <w:szCs w:val="32"/>
          <w:u w:val="none"/>
          <w:lang w:val="en-US" w:eastAsia="zh-CN"/>
        </w:rPr>
        <w:t>完成。</w:t>
      </w:r>
      <w:r>
        <w:rPr>
          <w:rFonts w:hint="eastAsia" w:ascii="Times New Roman" w:hAnsi="Times New Roman" w:eastAsia="仿宋_GB2312" w:cs="Times New Roman"/>
          <w:sz w:val="32"/>
          <w:szCs w:val="32"/>
          <w:u w:val="none"/>
          <w:lang w:val="en-US" w:eastAsia="zh-CN"/>
        </w:rPr>
        <w:t>项目执行机构</w:t>
      </w:r>
      <w:r>
        <w:rPr>
          <w:rFonts w:hint="eastAsia" w:ascii="仿宋" w:hAnsi="仿宋" w:eastAsia="仿宋" w:cs="仿宋"/>
          <w:sz w:val="32"/>
          <w:szCs w:val="32"/>
        </w:rPr>
        <w:t>就企业存在的相关问题与企业沟通达成一致后，编制帮扶技术方案，方案的制定需由具有职业卫生评价资质的专业技术人员完成，“一企一策”填写《成都市中小微型企业职业健康技术帮扶方案》，帮扶措施应具有针对性、必要性、符合性和经济技术可行性，方案需经</w:t>
      </w:r>
      <w:r>
        <w:rPr>
          <w:rFonts w:hint="eastAsia" w:ascii="仿宋" w:hAnsi="仿宋" w:eastAsia="仿宋" w:cs="仿宋"/>
          <w:sz w:val="32"/>
          <w:szCs w:val="32"/>
          <w:lang w:val="en-US" w:eastAsia="zh-CN"/>
        </w:rPr>
        <w:t>疾控中心</w:t>
      </w:r>
      <w:r>
        <w:rPr>
          <w:rFonts w:hint="eastAsia" w:ascii="仿宋" w:hAnsi="仿宋" w:eastAsia="仿宋" w:cs="仿宋"/>
          <w:sz w:val="32"/>
          <w:szCs w:val="32"/>
        </w:rPr>
        <w:t>技术负责人审核，</w:t>
      </w:r>
      <w:r>
        <w:rPr>
          <w:rFonts w:hint="eastAsia" w:ascii="Times New Roman" w:hAnsi="Times New Roman" w:eastAsia="仿宋_GB2312" w:cs="Times New Roman"/>
          <w:sz w:val="32"/>
          <w:szCs w:val="32"/>
          <w:u w:val="none"/>
          <w:lang w:val="en-US" w:eastAsia="zh-CN"/>
        </w:rPr>
        <w:t>项目执行机构</w:t>
      </w:r>
      <w:r>
        <w:rPr>
          <w:rFonts w:ascii="仿宋" w:hAnsi="仿宋" w:eastAsia="仿宋" w:cs="仿宋"/>
          <w:sz w:val="32"/>
          <w:szCs w:val="32"/>
        </w:rPr>
        <w:t>和</w:t>
      </w:r>
      <w:r>
        <w:rPr>
          <w:rFonts w:hint="eastAsia" w:ascii="仿宋" w:hAnsi="仿宋" w:eastAsia="仿宋" w:cs="仿宋"/>
          <w:sz w:val="32"/>
          <w:szCs w:val="32"/>
        </w:rPr>
        <w:t>企业负责人双方签字确认。企业</w:t>
      </w:r>
      <w:r>
        <w:rPr>
          <w:rFonts w:ascii="仿宋" w:hAnsi="仿宋" w:eastAsia="仿宋" w:cs="仿宋"/>
          <w:sz w:val="32"/>
          <w:szCs w:val="32"/>
        </w:rPr>
        <w:t>依据帮扶技术方案</w:t>
      </w:r>
      <w:r>
        <w:rPr>
          <w:rFonts w:hint="eastAsia" w:ascii="仿宋" w:hAnsi="仿宋" w:eastAsia="仿宋" w:cs="仿宋"/>
          <w:sz w:val="32"/>
          <w:szCs w:val="32"/>
        </w:rPr>
        <w:t>在</w:t>
      </w:r>
      <w:r>
        <w:rPr>
          <w:rFonts w:hint="eastAsia" w:ascii="Times New Roman" w:hAnsi="Times New Roman" w:eastAsia="仿宋_GB2312" w:cs="Times New Roman"/>
          <w:sz w:val="32"/>
          <w:szCs w:val="32"/>
          <w:u w:val="none"/>
          <w:lang w:val="en-US" w:eastAsia="zh-CN"/>
        </w:rPr>
        <w:t>项目执行机构</w:t>
      </w:r>
      <w:r>
        <w:rPr>
          <w:rFonts w:hint="eastAsia" w:ascii="仿宋" w:hAnsi="仿宋" w:eastAsia="仿宋" w:cs="仿宋"/>
          <w:sz w:val="32"/>
          <w:szCs w:val="32"/>
        </w:rPr>
        <w:t>指导下</w:t>
      </w:r>
      <w:r>
        <w:rPr>
          <w:rFonts w:ascii="仿宋" w:hAnsi="仿宋" w:eastAsia="仿宋" w:cs="仿宋"/>
          <w:sz w:val="32"/>
          <w:szCs w:val="32"/>
        </w:rPr>
        <w:t>制</w:t>
      </w:r>
      <w:r>
        <w:rPr>
          <w:rFonts w:hint="eastAsia" w:ascii="仿宋" w:hAnsi="仿宋" w:eastAsia="仿宋" w:cs="仿宋"/>
          <w:sz w:val="32"/>
          <w:szCs w:val="32"/>
        </w:rPr>
        <w:t>定整改</w:t>
      </w:r>
      <w:r>
        <w:rPr>
          <w:rFonts w:ascii="仿宋" w:hAnsi="仿宋" w:eastAsia="仿宋" w:cs="仿宋"/>
          <w:sz w:val="32"/>
          <w:szCs w:val="32"/>
        </w:rPr>
        <w:t>方案</w:t>
      </w:r>
      <w:r>
        <w:rPr>
          <w:rFonts w:hint="eastAsia" w:ascii="仿宋" w:hAnsi="仿宋" w:eastAsia="仿宋" w:cs="仿宋"/>
          <w:sz w:val="32"/>
          <w:szCs w:val="32"/>
        </w:rPr>
        <w:t>。</w:t>
      </w:r>
    </w:p>
    <w:p>
      <w:pPr>
        <w:overflowPunct w:val="0"/>
        <w:spacing w:line="600" w:lineRule="exact"/>
        <w:ind w:firstLine="640" w:firstLineChars="200"/>
        <w:contextualSpacing/>
        <w:jc w:val="both"/>
        <w:rPr>
          <w:rFonts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（三）</w:t>
      </w:r>
      <w:r>
        <w:rPr>
          <w:rFonts w:ascii="Times New Roman" w:hAnsi="Times New Roman" w:eastAsia="仿宋_GB2312" w:cs="Times New Roman"/>
          <w:sz w:val="32"/>
          <w:szCs w:val="32"/>
          <w:u w:val="none"/>
          <w:lang w:val="en-US" w:eastAsia="zh-CN"/>
        </w:rPr>
        <w:t>完善帮扶工作过程资料。</w:t>
      </w:r>
      <w:r>
        <w:rPr>
          <w:rFonts w:hint="eastAsia" w:ascii="仿宋_GB2312" w:hAnsi="仿宋_GB2312" w:eastAsia="仿宋_GB2312" w:cs="仿宋_GB2312"/>
          <w:sz w:val="32"/>
          <w:szCs w:val="32"/>
        </w:rPr>
        <w:t>帮扶措施的落实以企业为主、</w:t>
      </w:r>
      <w:r>
        <w:rPr>
          <w:rFonts w:hint="eastAsia" w:ascii="Times New Roman" w:hAnsi="Times New Roman" w:eastAsia="仿宋_GB2312" w:cs="Times New Roman"/>
          <w:sz w:val="32"/>
          <w:szCs w:val="32"/>
          <w:u w:val="none"/>
          <w:lang w:val="en-US" w:eastAsia="zh-CN"/>
        </w:rPr>
        <w:t>项目执行机构</w:t>
      </w:r>
      <w:r>
        <w:rPr>
          <w:rFonts w:hint="eastAsia" w:ascii="仿宋_GB2312" w:hAnsi="仿宋_GB2312" w:eastAsia="仿宋_GB2312" w:cs="仿宋_GB2312"/>
          <w:sz w:val="32"/>
          <w:szCs w:val="32"/>
        </w:rPr>
        <w:t>为辅的方式进行，企业应</w:t>
      </w:r>
      <w:r>
        <w:rPr>
          <w:rFonts w:ascii="仿宋_GB2312" w:hAnsi="仿宋_GB2312" w:eastAsia="仿宋_GB2312" w:cs="仿宋_GB2312"/>
          <w:sz w:val="32"/>
          <w:szCs w:val="32"/>
        </w:rPr>
        <w:t>指定专门机构</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负责帮扶工作实施，</w:t>
      </w:r>
      <w:r>
        <w:rPr>
          <w:rFonts w:hint="eastAsia" w:ascii="仿宋_GB2312" w:hAnsi="仿宋_GB2312" w:eastAsia="仿宋_GB2312" w:cs="仿宋_GB2312"/>
          <w:sz w:val="32"/>
          <w:szCs w:val="32"/>
        </w:rPr>
        <w:t>明确具体</w:t>
      </w:r>
      <w:r>
        <w:rPr>
          <w:rFonts w:ascii="仿宋_GB2312" w:hAnsi="仿宋_GB2312" w:eastAsia="仿宋_GB2312" w:cs="仿宋_GB2312"/>
          <w:sz w:val="32"/>
          <w:szCs w:val="32"/>
        </w:rPr>
        <w:t>工作人员，</w:t>
      </w:r>
      <w:r>
        <w:rPr>
          <w:rFonts w:hint="eastAsia" w:ascii="仿宋_GB2312" w:hAnsi="仿宋_GB2312" w:eastAsia="仿宋_GB2312" w:cs="仿宋_GB2312"/>
          <w:sz w:val="32"/>
          <w:szCs w:val="32"/>
        </w:rPr>
        <w:t>熟悉并掌握帮扶工作要求和流程；</w:t>
      </w:r>
      <w:r>
        <w:rPr>
          <w:rFonts w:hint="eastAsia" w:ascii="Times New Roman" w:hAnsi="Times New Roman" w:eastAsia="仿宋_GB2312" w:cs="Times New Roman"/>
          <w:sz w:val="32"/>
          <w:szCs w:val="32"/>
          <w:u w:val="none"/>
          <w:lang w:val="en-US" w:eastAsia="zh-CN"/>
        </w:rPr>
        <w:t>项目执行机构</w:t>
      </w:r>
      <w:r>
        <w:rPr>
          <w:rFonts w:hint="eastAsia" w:ascii="仿宋_GB2312" w:hAnsi="仿宋_GB2312" w:eastAsia="仿宋_GB2312" w:cs="仿宋_GB2312"/>
          <w:sz w:val="32"/>
          <w:szCs w:val="32"/>
        </w:rPr>
        <w:t>负责对企业相关人员进行培训，提高业务技能及管理水平。</w:t>
      </w:r>
      <w:r>
        <w:rPr>
          <w:rFonts w:hint="eastAsia" w:ascii="Times New Roman" w:hAnsi="Times New Roman" w:eastAsia="仿宋_GB2312" w:cs="Times New Roman"/>
          <w:sz w:val="32"/>
          <w:szCs w:val="32"/>
          <w:u w:val="none"/>
          <w:lang w:val="en-US" w:eastAsia="zh-CN"/>
        </w:rPr>
        <w:t>项目执行机构</w:t>
      </w:r>
      <w:r>
        <w:rPr>
          <w:rFonts w:hint="eastAsia" w:ascii="仿宋_GB2312" w:hAnsi="仿宋_GB2312" w:eastAsia="仿宋_GB2312" w:cs="仿宋_GB2312"/>
          <w:sz w:val="32"/>
          <w:szCs w:val="32"/>
        </w:rPr>
        <w:t>与企业应建立联系制度，确定帮扶专班和业务骨干，及时回应企业帮扶需求。</w:t>
      </w:r>
      <w:r>
        <w:rPr>
          <w:rFonts w:hint="eastAsia" w:ascii="Times New Roman" w:hAnsi="Times New Roman" w:eastAsia="仿宋_GB2312" w:cs="Times New Roman"/>
          <w:sz w:val="32"/>
          <w:szCs w:val="32"/>
          <w:u w:val="none"/>
          <w:lang w:val="en-US" w:eastAsia="zh-CN"/>
        </w:rPr>
        <w:t>项目执行机构</w:t>
      </w:r>
      <w:r>
        <w:rPr>
          <w:rFonts w:hint="eastAsia" w:ascii="仿宋_GB2312" w:hAnsi="仿宋_GB2312" w:eastAsia="仿宋_GB2312" w:cs="仿宋_GB2312"/>
          <w:sz w:val="32"/>
          <w:szCs w:val="32"/>
        </w:rPr>
        <w:t>应建立现场定期指导制度，每年对帮扶企业现场指导不少于4次，促进帮扶效果和进度落实，填写《成都市中小微型企业现场指导记录表》</w:t>
      </w:r>
      <w:r>
        <w:rPr>
          <w:rFonts w:hint="eastAsia" w:ascii="仿宋_GB2312" w:hAnsi="仿宋_GB2312" w:eastAsia="仿宋_GB2312" w:cs="仿宋_GB2312"/>
          <w:sz w:val="32"/>
          <w:szCs w:val="32"/>
          <w:lang w:val="en-US" w:eastAsia="zh-CN"/>
        </w:rPr>
        <w:t>，包括影</w:t>
      </w:r>
      <w:r>
        <w:rPr>
          <w:rFonts w:ascii="Times New Roman" w:hAnsi="Times New Roman" w:eastAsia="仿宋_GB2312" w:cs="Times New Roman"/>
          <w:sz w:val="32"/>
          <w:szCs w:val="32"/>
          <w:u w:val="none"/>
          <w:lang w:val="en-US" w:eastAsia="zh-CN"/>
        </w:rPr>
        <w:t>像资料、整改效果记录等。</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五、申报机构及托管机构资格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申报机构必须符合以下条件要求：</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具有独立承担民事责任的能力；具有良好的商业信誉和健全的财务会计制度</w:t>
      </w:r>
      <w:r>
        <w:rPr>
          <w:rFonts w:hint="eastAsia" w:ascii="仿宋_GB2312" w:hAnsi="仿宋_GB2312" w:eastAsia="仿宋_GB2312" w:cs="仿宋_GB2312"/>
          <w:sz w:val="32"/>
          <w:szCs w:val="32"/>
        </w:rPr>
        <w:t>。</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ascii="Times New Roman" w:hAnsi="Times New Roman" w:eastAsia="仿宋_GB2312" w:cs="Times New Roman"/>
          <w:sz w:val="32"/>
          <w:szCs w:val="32"/>
        </w:rPr>
        <w:t>具备3名以上专（兼）职工作人员，</w:t>
      </w:r>
      <w:r>
        <w:rPr>
          <w:rFonts w:hint="eastAsia" w:ascii="仿宋_GB2312" w:hAnsi="仿宋_GB2312" w:eastAsia="仿宋_GB2312" w:cs="仿宋_GB2312"/>
          <w:sz w:val="32"/>
          <w:szCs w:val="32"/>
        </w:rPr>
        <w:t>3年的</w:t>
      </w:r>
      <w:r>
        <w:rPr>
          <w:rFonts w:hint="eastAsia" w:ascii="仿宋_GB2312" w:hAnsi="仿宋_GB2312" w:eastAsia="仿宋_GB2312" w:cs="仿宋_GB2312"/>
          <w:sz w:val="32"/>
          <w:szCs w:val="32"/>
          <w:lang w:val="en-US" w:eastAsia="zh-CN"/>
        </w:rPr>
        <w:t>职业卫生</w:t>
      </w:r>
      <w:r>
        <w:rPr>
          <w:rFonts w:hint="eastAsia" w:ascii="仿宋_GB2312" w:hAnsi="仿宋_GB2312" w:eastAsia="仿宋_GB2312" w:cs="仿宋_GB2312"/>
          <w:sz w:val="32"/>
          <w:szCs w:val="32"/>
        </w:rPr>
        <w:t>相关工作经验，帮扶过程中原则上不得更换。</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b w:val="0"/>
          <w:bCs/>
          <w:sz w:val="32"/>
          <w:szCs w:val="32"/>
        </w:rPr>
        <w:t>（三）</w:t>
      </w:r>
      <w:r>
        <w:rPr>
          <w:rFonts w:ascii="Times New Roman" w:hAnsi="Times New Roman" w:eastAsia="仿宋_GB2312" w:cs="Times New Roman"/>
          <w:sz w:val="32"/>
          <w:szCs w:val="32"/>
        </w:rPr>
        <w:t>有执行和完成</w:t>
      </w:r>
      <w:r>
        <w:rPr>
          <w:rFonts w:hint="eastAsia" w:ascii="Times New Roman" w:hAnsi="Times New Roman" w:eastAsia="仿宋_GB2312" w:cs="Times New Roman"/>
          <w:sz w:val="32"/>
          <w:szCs w:val="32"/>
          <w:lang w:val="en-US" w:eastAsia="zh-CN"/>
        </w:rPr>
        <w:t>中小微型企业职业健康帮扶</w:t>
      </w:r>
      <w:r>
        <w:rPr>
          <w:rFonts w:ascii="Times New Roman" w:hAnsi="Times New Roman" w:eastAsia="仿宋_GB2312" w:cs="Times New Roman"/>
          <w:sz w:val="32"/>
          <w:szCs w:val="32"/>
        </w:rPr>
        <w:t>项目的能力，与当地政府部门、专业机构有良好的合作关系。</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六、项目申报</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w:t>
      </w:r>
      <w:r>
        <w:rPr>
          <w:rFonts w:ascii="Times New Roman" w:hAnsi="Times New Roman" w:eastAsia="仿宋_GB2312" w:cs="Times New Roman"/>
          <w:sz w:val="32"/>
          <w:szCs w:val="32"/>
        </w:rPr>
        <w:t>项目申请指南通过成都市新津区疾控中心官网发布。</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w:t>
      </w:r>
      <w:r>
        <w:rPr>
          <w:rFonts w:ascii="Times New Roman" w:hAnsi="Times New Roman" w:eastAsia="仿宋_GB2312" w:cs="Times New Roman"/>
          <w:sz w:val="32"/>
          <w:szCs w:val="32"/>
        </w:rPr>
        <w:t>项目申请机构需按要求认真、详实地填写《202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年成都市新津区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中小微型企业职业健康帮扶</w:t>
      </w:r>
      <w:r>
        <w:rPr>
          <w:rFonts w:ascii="Times New Roman" w:hAnsi="Times New Roman" w:eastAsia="仿宋_GB2312" w:cs="Times New Roman"/>
          <w:color w:val="000000" w:themeColor="text1"/>
          <w:sz w:val="32"/>
          <w:szCs w:val="32"/>
          <w14:textFill>
            <w14:solidFill>
              <w14:schemeClr w14:val="tx1"/>
            </w14:solidFill>
          </w14:textFill>
        </w:rPr>
        <w:t>项目申请书</w:t>
      </w:r>
      <w:r>
        <w:rPr>
          <w:rFonts w:ascii="Times New Roman" w:hAnsi="Times New Roman" w:eastAsia="仿宋_GB2312" w:cs="Times New Roman"/>
          <w:sz w:val="32"/>
          <w:szCs w:val="32"/>
        </w:rPr>
        <w:t>》，一式一份，A4纸打印，并由机构负责人签署意见和签名，加盖单位公章。</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w:t>
      </w:r>
      <w:r>
        <w:rPr>
          <w:rFonts w:ascii="Times New Roman" w:hAnsi="Times New Roman" w:eastAsia="仿宋_GB2312" w:cs="Times New Roman"/>
          <w:sz w:val="32"/>
          <w:szCs w:val="32"/>
        </w:rPr>
        <w:t>项目设计应目标明确、思路清晰、活动设计合理、内容详尽、方法得当、预算合理，便于评审和验收。项目申报内容应真实有效，有弄虚作假的，一经发现，将取消参评资格。</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w:t>
      </w:r>
      <w:r>
        <w:rPr>
          <w:rFonts w:ascii="Times New Roman" w:hAnsi="Times New Roman" w:eastAsia="仿宋_GB2312" w:cs="Times New Roman"/>
          <w:sz w:val="32"/>
          <w:szCs w:val="32"/>
        </w:rPr>
        <w:t>申报机构可预算不超过项目总经费20%的管理经费，项目经费不得二次委托。</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（五）</w:t>
      </w:r>
      <w:r>
        <w:rPr>
          <w:rFonts w:ascii="Times New Roman" w:hAnsi="Times New Roman" w:eastAsia="仿宋_GB2312" w:cs="Times New Roman"/>
          <w:sz w:val="32"/>
          <w:szCs w:val="32"/>
        </w:rPr>
        <w:t>项目负责人必须是申报机构的工作人员，项目实施人应包括合作机构的人员。</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（六）</w:t>
      </w:r>
      <w:r>
        <w:rPr>
          <w:rFonts w:ascii="Times New Roman" w:hAnsi="Times New Roman" w:eastAsia="仿宋_GB2312" w:cs="Times New Roman"/>
          <w:sz w:val="32"/>
          <w:szCs w:val="32"/>
        </w:rPr>
        <w:t>项目执行周期按执行协议生效后</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个月计算。</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（七）</w:t>
      </w:r>
      <w:r>
        <w:rPr>
          <w:rFonts w:ascii="Times New Roman" w:hAnsi="Times New Roman" w:eastAsia="仿宋_GB2312" w:cs="Times New Roman"/>
          <w:sz w:val="32"/>
          <w:szCs w:val="32"/>
        </w:rPr>
        <w:t>申请机构需自行承担申请过程中所支出的相关费用。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七、申请时间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申请机构将申请材料纸质版在202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日前提交到成都市新津区疾病预防控制中心，同时提交电子版至指定邮箱（</w:t>
      </w:r>
      <w:r>
        <w:rPr>
          <w:rFonts w:hint="default" w:ascii="Times New Roman" w:hAnsi="Times New Roman" w:eastAsia="仿宋_GB2312" w:cs="Times New Roman"/>
          <w:sz w:val="32"/>
          <w:szCs w:val="32"/>
          <w:lang w:val="en-US" w:eastAsia="zh-CN"/>
        </w:rPr>
        <w:t>xjcdcjck@163.com</w:t>
      </w:r>
      <w:r>
        <w:rPr>
          <w:rFonts w:ascii="Times New Roman" w:hAnsi="Times New Roman" w:eastAsia="仿宋_GB2312" w:cs="Times New Roman"/>
          <w:sz w:val="32"/>
          <w:szCs w:val="32"/>
        </w:rPr>
        <w:t>），电子版申请书的文件名必须与所申请项目名称一致，逾期不予受理。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申请机构不具备申请资格、逾期、材料不全或活动内容不在实施机构选择活动范围内的申请将视为无效申请。</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八、评审要求</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w:t>
      </w:r>
      <w:r>
        <w:rPr>
          <w:rFonts w:ascii="Times New Roman" w:hAnsi="Times New Roman" w:eastAsia="仿宋_GB2312" w:cs="Times New Roman"/>
          <w:sz w:val="32"/>
          <w:szCs w:val="32"/>
        </w:rPr>
        <w:t>根据申报原则、支持活动、申报资格和填报要求等，对收到的全部申报项目进行初审，不合格的，予以淘汰。</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w:t>
      </w:r>
      <w:r>
        <w:rPr>
          <w:rFonts w:ascii="Times New Roman" w:hAnsi="Times New Roman" w:eastAsia="仿宋_GB2312" w:cs="Times New Roman"/>
          <w:sz w:val="32"/>
          <w:szCs w:val="32"/>
        </w:rPr>
        <w:t>邀请有关方面的专家组成评审组，对初审后的《项目申请书》进行再次评审，确定项目执行单位。</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w:t>
      </w:r>
      <w:r>
        <w:rPr>
          <w:rFonts w:ascii="Times New Roman" w:hAnsi="Times New Roman" w:eastAsia="仿宋_GB2312" w:cs="Times New Roman"/>
          <w:sz w:val="32"/>
          <w:szCs w:val="32"/>
        </w:rPr>
        <w:t>确定项目执行单位后，将通过成都市新津区疾病预防控制中心公示评审结果。公示期为3日，有异议者，可在公示期内实名向新津疾控申诉。公示期结束，通知合格的申报机构，填报《项目实施方案》，经复核批准后，签订项目执行协议书，项目经费分别于项目前期、后期（验收合格后）分2次进行拨付，拨付比例分别为总项目经费的80%、20%。</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九、验收督导要求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项目管理将参照《</w:t>
      </w:r>
      <w:r>
        <w:rPr>
          <w:rFonts w:hint="eastAsia" w:ascii="Times New Roman" w:hAnsi="Times New Roman" w:eastAsia="仿宋_GB2312" w:cs="Times New Roman"/>
          <w:sz w:val="32"/>
          <w:szCs w:val="32"/>
          <w:lang w:eastAsia="zh-CN"/>
        </w:rPr>
        <w:t>成都市中小微型企业职业健康帮扶工作指南</w:t>
      </w:r>
      <w:r>
        <w:rPr>
          <w:rFonts w:ascii="Times New Roman" w:hAnsi="Times New Roman" w:eastAsia="仿宋_GB2312" w:cs="Times New Roman"/>
          <w:sz w:val="32"/>
          <w:szCs w:val="32"/>
        </w:rPr>
        <w:t>》，指导</w:t>
      </w:r>
      <w:r>
        <w:rPr>
          <w:rFonts w:hint="eastAsia" w:ascii="Times New Roman" w:hAnsi="Times New Roman" w:eastAsia="仿宋_GB2312" w:cs="Times New Roman"/>
          <w:sz w:val="32"/>
          <w:szCs w:val="32"/>
          <w:lang w:val="en-US" w:eastAsia="zh-CN"/>
        </w:rPr>
        <w:t>项目</w:t>
      </w:r>
      <w:r>
        <w:rPr>
          <w:rFonts w:ascii="Times New Roman" w:hAnsi="Times New Roman" w:eastAsia="仿宋_GB2312" w:cs="Times New Roman"/>
          <w:sz w:val="32"/>
          <w:szCs w:val="32"/>
        </w:rPr>
        <w:t>执行</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2年内不得申请本单位的项目。</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十、财务管理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新津疾控将依据国家有关法律法规，规范和加强项目资金的管理，确保资金安全和专款专用，提高资金使用效益。</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十一、联系方式</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在申请过程中，如有疑问，请电话咨询。</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单 位：成都市新津区疾病预防控制中心</w:t>
      </w:r>
    </w:p>
    <w:p>
      <w:pPr>
        <w:spacing w:line="560" w:lineRule="exact"/>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联系人：</w:t>
      </w:r>
      <w:r>
        <w:rPr>
          <w:rFonts w:hint="eastAsia" w:ascii="Times New Roman" w:hAnsi="Times New Roman" w:eastAsia="仿宋_GB2312" w:cs="Times New Roman"/>
          <w:color w:val="auto"/>
          <w:sz w:val="32"/>
          <w:szCs w:val="32"/>
          <w:lang w:val="en-US" w:eastAsia="zh-CN"/>
        </w:rPr>
        <w:t>王晶</w:t>
      </w:r>
    </w:p>
    <w:p>
      <w:pPr>
        <w:spacing w:line="560" w:lineRule="exact"/>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电 话：028-</w:t>
      </w:r>
      <w:r>
        <w:rPr>
          <w:rFonts w:hint="eastAsia" w:ascii="Times New Roman" w:hAnsi="Times New Roman" w:eastAsia="仿宋_GB2312" w:cs="Times New Roman"/>
          <w:color w:val="auto"/>
          <w:sz w:val="32"/>
          <w:szCs w:val="32"/>
        </w:rPr>
        <w:t>825</w:t>
      </w:r>
      <w:r>
        <w:rPr>
          <w:rFonts w:hint="eastAsia" w:ascii="Times New Roman" w:hAnsi="Times New Roman" w:eastAsia="仿宋_GB2312" w:cs="Times New Roman"/>
          <w:color w:val="auto"/>
          <w:sz w:val="32"/>
          <w:szCs w:val="32"/>
          <w:lang w:val="en-US" w:eastAsia="zh-CN"/>
        </w:rPr>
        <w:t>18246</w:t>
      </w:r>
    </w:p>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邮 编：611430</w:t>
      </w:r>
    </w:p>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 址：成都市新津区五津街道五津北路121号</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11办公室</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rPr>
          <w:rFonts w:hint="eastAsia" w:ascii="方正公文小标宋" w:hAnsi="方正公文小标宋" w:eastAsia="方正公文小标宋" w:cs="方正公文小标宋"/>
          <w:b w:val="0"/>
          <w:bCs w:val="0"/>
          <w:sz w:val="32"/>
          <w:szCs w:val="32"/>
        </w:rPr>
      </w:pPr>
      <w:r>
        <w:rPr>
          <w:rFonts w:hint="eastAsia" w:ascii="方正公文小标宋" w:hAnsi="方正公文小标宋" w:eastAsia="方正公文小标宋" w:cs="方正公文小标宋"/>
          <w:b w:val="0"/>
          <w:bCs w:val="0"/>
          <w:sz w:val="32"/>
          <w:szCs w:val="32"/>
        </w:rPr>
        <w:br w:type="page"/>
      </w:r>
    </w:p>
    <w:p>
      <w:pPr>
        <w:spacing w:line="560" w:lineRule="exact"/>
        <w:rPr>
          <w:rFonts w:hint="eastAsia" w:ascii="方正公文小标宋" w:hAnsi="方正公文小标宋" w:eastAsia="方正公文小标宋" w:cs="方正公文小标宋"/>
          <w:b w:val="0"/>
          <w:bCs w:val="0"/>
          <w:sz w:val="32"/>
          <w:szCs w:val="32"/>
        </w:rPr>
      </w:pPr>
      <w:r>
        <w:rPr>
          <w:rFonts w:hint="eastAsia" w:ascii="方正公文小标宋" w:hAnsi="方正公文小标宋" w:eastAsia="方正公文小标宋" w:cs="方正公文小标宋"/>
          <w:b w:val="0"/>
          <w:bCs w:val="0"/>
          <w:sz w:val="32"/>
          <w:szCs w:val="32"/>
        </w:rPr>
        <w:t>附件1</w:t>
      </w:r>
    </w:p>
    <w:p>
      <w:pPr>
        <w:spacing w:line="56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sz w:val="44"/>
          <w:szCs w:val="44"/>
        </w:rPr>
        <w:t>成都市新津区</w:t>
      </w:r>
      <w:r>
        <w:rPr>
          <w:rFonts w:hint="eastAsia" w:ascii="Times New Roman" w:hAnsi="Times New Roman" w:eastAsia="方正小标宋简体" w:cs="Times New Roman"/>
          <w:sz w:val="44"/>
          <w:szCs w:val="44"/>
          <w:lang w:eastAsia="zh-CN"/>
        </w:rPr>
        <w:t>中小微型企业职业健康帮扶</w:t>
      </w:r>
      <w:r>
        <w:rPr>
          <w:rFonts w:ascii="Times New Roman" w:hAnsi="Times New Roman" w:eastAsia="方正小标宋简体" w:cs="Times New Roman"/>
          <w:sz w:val="44"/>
          <w:szCs w:val="44"/>
        </w:rPr>
        <w:t>项目经费编制说明</w:t>
      </w:r>
    </w:p>
    <w:p>
      <w:pPr>
        <w:pStyle w:val="5"/>
        <w:spacing w:line="560" w:lineRule="exact"/>
        <w:ind w:firstLine="640" w:firstLineChars="200"/>
        <w:jc w:val="both"/>
        <w:rPr>
          <w:rFonts w:ascii="Times New Roman" w:hAnsi="Times New Roman" w:eastAsia="方正仿宋简体" w:cs="Times New Roman"/>
          <w:color w:val="auto"/>
          <w:kern w:val="2"/>
          <w:sz w:val="32"/>
          <w:szCs w:val="32"/>
        </w:rPr>
      </w:pPr>
    </w:p>
    <w:p>
      <w:pPr>
        <w:pStyle w:val="5"/>
        <w:spacing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根据财务管理制度规定，制定202</w:t>
      </w:r>
      <w:r>
        <w:rPr>
          <w:rFonts w:hint="eastAsia" w:ascii="Times New Roman" w:hAnsi="Times New Roman" w:eastAsia="仿宋_GB2312" w:cs="Times New Roman"/>
          <w:color w:val="auto"/>
          <w:kern w:val="2"/>
          <w:sz w:val="32"/>
          <w:szCs w:val="32"/>
          <w:lang w:val="en-US" w:eastAsia="zh-CN"/>
        </w:rPr>
        <w:t>4</w:t>
      </w:r>
      <w:r>
        <w:rPr>
          <w:rFonts w:ascii="Times New Roman" w:hAnsi="Times New Roman" w:eastAsia="仿宋_GB2312" w:cs="Times New Roman"/>
          <w:color w:val="auto"/>
          <w:kern w:val="2"/>
          <w:sz w:val="32"/>
          <w:szCs w:val="32"/>
        </w:rPr>
        <w:t>年成都市新津区</w:t>
      </w:r>
      <w:r>
        <w:rPr>
          <w:rFonts w:hint="eastAsia" w:ascii="Times New Roman" w:hAnsi="Times New Roman" w:eastAsia="仿宋_GB2312" w:cs="Times New Roman"/>
          <w:color w:val="auto"/>
          <w:kern w:val="2"/>
          <w:sz w:val="32"/>
          <w:szCs w:val="32"/>
          <w:lang w:eastAsia="zh-CN"/>
        </w:rPr>
        <w:t>中小微型企业职业健康帮扶</w:t>
      </w:r>
      <w:r>
        <w:rPr>
          <w:rFonts w:ascii="Times New Roman" w:hAnsi="Times New Roman" w:eastAsia="仿宋_GB2312" w:cs="Times New Roman"/>
          <w:color w:val="auto"/>
          <w:kern w:val="2"/>
          <w:sz w:val="32"/>
          <w:szCs w:val="32"/>
        </w:rPr>
        <w:t>项目预算编制说明。</w:t>
      </w:r>
    </w:p>
    <w:p>
      <w:pPr>
        <w:pStyle w:val="5"/>
        <w:spacing w:line="560" w:lineRule="exact"/>
        <w:ind w:firstLine="640" w:firstLineChars="200"/>
        <w:jc w:val="both"/>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 xml:space="preserve">一、社会组织的基本运转费用 </w:t>
      </w:r>
    </w:p>
    <w:p>
      <w:pPr>
        <w:pStyle w:val="5"/>
        <w:spacing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项目基本运转费用包括办公用品、社会组织水电补助、社会组织人员差旅费、市内交通费、邮电费和通讯费等，项目基本运转费用不超过其所申请经费总额的20%。</w:t>
      </w:r>
    </w:p>
    <w:p>
      <w:pPr>
        <w:pStyle w:val="5"/>
        <w:spacing w:line="560" w:lineRule="exact"/>
        <w:ind w:firstLine="640" w:firstLineChars="200"/>
        <w:jc w:val="both"/>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 xml:space="preserve">二、项目活动费 </w:t>
      </w:r>
    </w:p>
    <w:p>
      <w:pPr>
        <w:pStyle w:val="5"/>
        <w:spacing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项目活动各类预算需根据实际工作需要据实列支。列明主要</w:t>
      </w:r>
      <w:r>
        <w:rPr>
          <w:rFonts w:hint="eastAsia" w:ascii="Times New Roman" w:hAnsi="Times New Roman" w:eastAsia="仿宋_GB2312" w:cs="Times New Roman"/>
          <w:color w:val="auto"/>
          <w:kern w:val="2"/>
          <w:sz w:val="32"/>
          <w:szCs w:val="32"/>
          <w:lang w:val="en-US" w:eastAsia="zh-CN"/>
        </w:rPr>
        <w:t>工作</w:t>
      </w:r>
      <w:r>
        <w:rPr>
          <w:rFonts w:ascii="Times New Roman" w:hAnsi="Times New Roman" w:eastAsia="仿宋_GB2312" w:cs="Times New Roman"/>
          <w:color w:val="auto"/>
          <w:kern w:val="2"/>
          <w:sz w:val="32"/>
          <w:szCs w:val="32"/>
        </w:rPr>
        <w:t>内容、受益人数、费用种类和标准等。费用标准遵循本机构或当地或国家有关规定。</w:t>
      </w:r>
    </w:p>
    <w:p>
      <w:pPr>
        <w:pStyle w:val="5"/>
        <w:spacing w:line="560" w:lineRule="exact"/>
        <w:ind w:firstLine="643" w:firstLineChars="200"/>
        <w:jc w:val="both"/>
        <w:rPr>
          <w:rFonts w:ascii="Times New Roman" w:hAnsi="Times New Roman" w:eastAsia="楷体_GB2312" w:cs="Times New Roman"/>
          <w:b/>
          <w:color w:val="auto"/>
          <w:kern w:val="2"/>
          <w:sz w:val="32"/>
          <w:szCs w:val="32"/>
        </w:rPr>
      </w:pPr>
      <w:r>
        <w:rPr>
          <w:rFonts w:ascii="Times New Roman" w:hAnsi="Times New Roman" w:eastAsia="楷体_GB2312" w:cs="Times New Roman"/>
          <w:b/>
          <w:color w:val="auto"/>
          <w:kern w:val="2"/>
          <w:sz w:val="32"/>
          <w:szCs w:val="32"/>
        </w:rPr>
        <w:t>（一）人员劳务费</w:t>
      </w:r>
    </w:p>
    <w:p>
      <w:pPr>
        <w:pStyle w:val="5"/>
        <w:spacing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人员劳务费是指在开展宣传、</w:t>
      </w:r>
      <w:r>
        <w:rPr>
          <w:rFonts w:hint="eastAsia" w:ascii="Times New Roman" w:hAnsi="Times New Roman" w:eastAsia="仿宋_GB2312" w:cs="Times New Roman"/>
          <w:color w:val="auto"/>
          <w:kern w:val="2"/>
          <w:sz w:val="32"/>
          <w:szCs w:val="32"/>
          <w:lang w:val="en-US" w:eastAsia="zh-CN"/>
        </w:rPr>
        <w:t>企业</w:t>
      </w:r>
      <w:r>
        <w:rPr>
          <w:rFonts w:ascii="Times New Roman" w:hAnsi="Times New Roman" w:eastAsia="仿宋_GB2312" w:cs="Times New Roman"/>
          <w:color w:val="auto"/>
          <w:kern w:val="2"/>
          <w:sz w:val="32"/>
          <w:szCs w:val="32"/>
        </w:rPr>
        <w:t>动员</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职业健康调查</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咨询指导</w:t>
      </w:r>
      <w:r>
        <w:rPr>
          <w:rFonts w:ascii="Times New Roman" w:hAnsi="Times New Roman" w:eastAsia="仿宋_GB2312" w:cs="Times New Roman"/>
          <w:color w:val="auto"/>
          <w:kern w:val="2"/>
          <w:sz w:val="32"/>
          <w:szCs w:val="32"/>
        </w:rPr>
        <w:t>等活动中，工作人员、志愿者领取的劳务费。每人每月累计发放不得超过1000元，领取标准为100元/天/人。项目人员费（包括志愿者劳务费、专家费、讲课费和工作补助等）不超过总预算的60%。</w:t>
      </w:r>
    </w:p>
    <w:p>
      <w:pPr>
        <w:pStyle w:val="5"/>
        <w:spacing w:line="560" w:lineRule="exact"/>
        <w:ind w:firstLine="643" w:firstLineChars="200"/>
        <w:jc w:val="both"/>
        <w:rPr>
          <w:rFonts w:ascii="Times New Roman" w:hAnsi="Times New Roman" w:eastAsia="楷体_GB2312" w:cs="Times New Roman"/>
          <w:b/>
          <w:color w:val="auto"/>
          <w:kern w:val="2"/>
          <w:sz w:val="32"/>
          <w:szCs w:val="32"/>
        </w:rPr>
      </w:pPr>
      <w:r>
        <w:rPr>
          <w:rFonts w:ascii="Times New Roman" w:hAnsi="Times New Roman" w:eastAsia="楷体_GB2312" w:cs="Times New Roman"/>
          <w:b/>
          <w:color w:val="auto"/>
          <w:kern w:val="2"/>
          <w:sz w:val="32"/>
          <w:szCs w:val="32"/>
        </w:rPr>
        <w:t>（二）宣传材料费</w:t>
      </w:r>
    </w:p>
    <w:p>
      <w:pPr>
        <w:pStyle w:val="5"/>
        <w:spacing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开展宣传活动时发生的宣传品制印、制作视频音频材料等费用，在项目预算内实报实销。</w:t>
      </w:r>
    </w:p>
    <w:p>
      <w:pPr>
        <w:pStyle w:val="5"/>
        <w:spacing w:line="560" w:lineRule="exact"/>
        <w:ind w:firstLine="643" w:firstLineChars="200"/>
        <w:jc w:val="both"/>
        <w:rPr>
          <w:rFonts w:ascii="Times New Roman" w:hAnsi="Times New Roman" w:eastAsia="楷体_GB2312" w:cs="Times New Roman"/>
          <w:b/>
          <w:color w:val="auto"/>
          <w:kern w:val="2"/>
          <w:sz w:val="32"/>
          <w:szCs w:val="32"/>
        </w:rPr>
      </w:pPr>
      <w:r>
        <w:rPr>
          <w:rFonts w:ascii="Times New Roman" w:hAnsi="Times New Roman" w:eastAsia="楷体_GB2312" w:cs="Times New Roman"/>
          <w:b/>
          <w:color w:val="auto"/>
          <w:kern w:val="2"/>
          <w:sz w:val="32"/>
          <w:szCs w:val="32"/>
        </w:rPr>
        <w:t xml:space="preserve">（三）会议培训费 </w:t>
      </w:r>
    </w:p>
    <w:p>
      <w:pPr>
        <w:pStyle w:val="5"/>
        <w:spacing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 xml:space="preserve">会议培训费含场租费、食宿费、培训资料费等，开支标准不超过400元/人/天。 </w:t>
      </w:r>
    </w:p>
    <w:p>
      <w:pPr>
        <w:pStyle w:val="5"/>
        <w:spacing w:line="560" w:lineRule="exact"/>
        <w:ind w:firstLine="643" w:firstLineChars="200"/>
        <w:jc w:val="both"/>
        <w:rPr>
          <w:rFonts w:ascii="Times New Roman" w:hAnsi="Times New Roman" w:eastAsia="楷体_GB2312" w:cs="Times New Roman"/>
          <w:b/>
          <w:color w:val="auto"/>
          <w:kern w:val="2"/>
          <w:sz w:val="32"/>
          <w:szCs w:val="32"/>
        </w:rPr>
      </w:pPr>
      <w:r>
        <w:rPr>
          <w:rFonts w:ascii="Times New Roman" w:hAnsi="Times New Roman" w:eastAsia="楷体_GB2312" w:cs="Times New Roman"/>
          <w:b/>
          <w:color w:val="auto"/>
          <w:kern w:val="2"/>
          <w:sz w:val="32"/>
          <w:szCs w:val="32"/>
        </w:rPr>
        <w:t>（</w:t>
      </w:r>
      <w:r>
        <w:rPr>
          <w:rFonts w:hint="eastAsia" w:ascii="Times New Roman" w:hAnsi="Times New Roman" w:eastAsia="楷体_GB2312" w:cs="Times New Roman"/>
          <w:b/>
          <w:color w:val="auto"/>
          <w:kern w:val="2"/>
          <w:sz w:val="32"/>
          <w:szCs w:val="32"/>
          <w:lang w:val="en-US" w:eastAsia="zh-CN"/>
        </w:rPr>
        <w:t>四</w:t>
      </w:r>
      <w:r>
        <w:rPr>
          <w:rFonts w:ascii="Times New Roman" w:hAnsi="Times New Roman" w:eastAsia="楷体_GB2312" w:cs="Times New Roman"/>
          <w:b/>
          <w:color w:val="auto"/>
          <w:kern w:val="2"/>
          <w:sz w:val="32"/>
          <w:szCs w:val="32"/>
        </w:rPr>
        <w:t xml:space="preserve">）专家咨询费 </w:t>
      </w:r>
    </w:p>
    <w:p>
      <w:pPr>
        <w:pStyle w:val="5"/>
        <w:spacing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b/>
          <w:color w:val="auto"/>
          <w:kern w:val="2"/>
          <w:sz w:val="32"/>
          <w:szCs w:val="32"/>
        </w:rPr>
        <w:t>（1）</w:t>
      </w:r>
      <w:r>
        <w:rPr>
          <w:rFonts w:ascii="Times New Roman" w:hAnsi="Times New Roman" w:eastAsia="仿宋_GB2312" w:cs="Times New Roman"/>
          <w:color w:val="auto"/>
          <w:kern w:val="2"/>
          <w:sz w:val="32"/>
          <w:szCs w:val="32"/>
        </w:rPr>
        <w:t>高级专业技术职称人员不超过800元/人天,其他专业技术人员不超过500元/人天；</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b/>
          <w:color w:val="auto"/>
          <w:kern w:val="2"/>
          <w:sz w:val="32"/>
          <w:szCs w:val="32"/>
        </w:rPr>
        <w:t>（2）</w:t>
      </w:r>
      <w:r>
        <w:rPr>
          <w:rFonts w:ascii="Times New Roman" w:hAnsi="Times New Roman" w:eastAsia="仿宋_GB2312" w:cs="Times New Roman"/>
          <w:color w:val="auto"/>
          <w:kern w:val="2"/>
          <w:sz w:val="32"/>
          <w:szCs w:val="32"/>
        </w:rPr>
        <w:t>连续超过两天的，第三天及以后高级专业技术职称人员不超过400元/人天,其他专业技术人员不超过300元/人天 。在预算标准内明确发放事由，根据专家工作量、任务数据实发放，不再报销专家交通费用。</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b/>
          <w:color w:val="auto"/>
          <w:kern w:val="2"/>
          <w:sz w:val="32"/>
          <w:szCs w:val="32"/>
        </w:rPr>
        <w:t>（3）</w:t>
      </w:r>
      <w:r>
        <w:rPr>
          <w:rFonts w:ascii="Times New Roman" w:hAnsi="Times New Roman" w:eastAsia="仿宋_GB2312" w:cs="Times New Roman"/>
          <w:color w:val="auto"/>
          <w:kern w:val="2"/>
          <w:sz w:val="32"/>
          <w:szCs w:val="32"/>
        </w:rPr>
        <w:t>讲课费原则上按正高职称不超过500元/人小时，副高职称不超过400元/人小时，其他职称不超过300元/人小时。</w:t>
      </w:r>
    </w:p>
    <w:p>
      <w:pPr>
        <w:pStyle w:val="5"/>
        <w:spacing w:line="560" w:lineRule="exact"/>
        <w:ind w:firstLine="640" w:firstLineChars="200"/>
        <w:jc w:val="both"/>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 xml:space="preserve">三、不支持的活动开支 </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楷体_GB2312" w:cs="Times New Roman"/>
          <w:b/>
          <w:color w:val="auto"/>
          <w:kern w:val="2"/>
          <w:sz w:val="32"/>
          <w:szCs w:val="32"/>
        </w:rPr>
        <w:t>（一）</w:t>
      </w:r>
      <w:r>
        <w:rPr>
          <w:rFonts w:ascii="Times New Roman" w:hAnsi="Times New Roman" w:eastAsia="仿宋_GB2312" w:cs="Times New Roman"/>
          <w:color w:val="auto"/>
          <w:kern w:val="2"/>
          <w:sz w:val="32"/>
          <w:szCs w:val="32"/>
        </w:rPr>
        <w:t xml:space="preserve">不支持计划外活动。 </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楷体_GB2312" w:cs="Times New Roman"/>
          <w:b/>
          <w:color w:val="auto"/>
          <w:kern w:val="2"/>
          <w:sz w:val="32"/>
          <w:szCs w:val="32"/>
        </w:rPr>
        <w:t>（二）</w:t>
      </w:r>
      <w:r>
        <w:rPr>
          <w:rFonts w:ascii="Times New Roman" w:hAnsi="Times New Roman" w:eastAsia="仿宋_GB2312" w:cs="Times New Roman"/>
          <w:color w:val="auto"/>
          <w:kern w:val="2"/>
          <w:sz w:val="32"/>
          <w:szCs w:val="32"/>
        </w:rPr>
        <w:t xml:space="preserve">不支持土建、罚款、偿债、捐款、赞助、投资。 </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楷体_GB2312" w:cs="Times New Roman"/>
          <w:b/>
          <w:color w:val="auto"/>
          <w:kern w:val="2"/>
          <w:sz w:val="32"/>
          <w:szCs w:val="32"/>
        </w:rPr>
        <w:t>（三）</w:t>
      </w:r>
      <w:r>
        <w:rPr>
          <w:rFonts w:ascii="Times New Roman" w:hAnsi="Times New Roman" w:eastAsia="仿宋_GB2312" w:cs="Times New Roman"/>
          <w:color w:val="auto"/>
          <w:kern w:val="2"/>
          <w:sz w:val="32"/>
          <w:szCs w:val="32"/>
        </w:rPr>
        <w:t xml:space="preserve">举办会议或培训的，不支持文件包、笔、笔记本、洗漱用品、纪念品、礼品和土特产的购买费用。不支持摆放鲜花、植物、烟酒、茶歇及气球拱门、制作背景板、悬挂宣传标语的费用。不支持参会代表洗衣、长途电话、游览、娱乐和健身等费用。 </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楷体_GB2312" w:cs="Times New Roman"/>
          <w:b/>
          <w:color w:val="auto"/>
          <w:kern w:val="2"/>
          <w:sz w:val="32"/>
          <w:szCs w:val="32"/>
        </w:rPr>
        <w:t>（四）</w:t>
      </w:r>
      <w:r>
        <w:rPr>
          <w:rFonts w:ascii="Times New Roman" w:hAnsi="Times New Roman" w:eastAsia="仿宋_GB2312" w:cs="Times New Roman"/>
          <w:color w:val="auto"/>
          <w:kern w:val="2"/>
          <w:sz w:val="32"/>
          <w:szCs w:val="32"/>
        </w:rPr>
        <w:t xml:space="preserve">不支持会议或培训举办地参会代表住宿费用。 </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楷体_GB2312" w:cs="Times New Roman"/>
          <w:b/>
          <w:color w:val="auto"/>
          <w:kern w:val="2"/>
          <w:sz w:val="32"/>
          <w:szCs w:val="32"/>
        </w:rPr>
        <w:t>（五）</w:t>
      </w:r>
      <w:r>
        <w:rPr>
          <w:rFonts w:ascii="Times New Roman" w:hAnsi="Times New Roman" w:eastAsia="仿宋_GB2312" w:cs="Times New Roman"/>
          <w:color w:val="auto"/>
          <w:kern w:val="2"/>
          <w:sz w:val="32"/>
          <w:szCs w:val="32"/>
        </w:rPr>
        <w:t xml:space="preserve">不支持因提高用餐、住宿标准而产生的费用。 </w:t>
      </w:r>
    </w:p>
    <w:p>
      <w:pPr>
        <w:pStyle w:val="5"/>
        <w:spacing w:line="560" w:lineRule="exact"/>
        <w:ind w:firstLine="643" w:firstLineChars="200"/>
        <w:jc w:val="both"/>
        <w:rPr>
          <w:rFonts w:ascii="Times New Roman" w:hAnsi="Times New Roman" w:eastAsia="仿宋_GB2312" w:cs="Times New Roman"/>
          <w:color w:val="auto"/>
          <w:kern w:val="2"/>
          <w:sz w:val="32"/>
          <w:szCs w:val="32"/>
        </w:rPr>
      </w:pPr>
      <w:r>
        <w:rPr>
          <w:rFonts w:ascii="Times New Roman" w:hAnsi="Times New Roman" w:eastAsia="楷体_GB2312" w:cs="Times New Roman"/>
          <w:b/>
          <w:color w:val="auto"/>
          <w:kern w:val="2"/>
          <w:sz w:val="32"/>
          <w:szCs w:val="32"/>
        </w:rPr>
        <w:t>（六）</w:t>
      </w:r>
      <w:r>
        <w:rPr>
          <w:rFonts w:ascii="Times New Roman" w:hAnsi="Times New Roman" w:eastAsia="仿宋_GB2312" w:cs="Times New Roman"/>
          <w:color w:val="auto"/>
          <w:kern w:val="2"/>
          <w:sz w:val="32"/>
          <w:szCs w:val="32"/>
        </w:rPr>
        <w:t>不支持超出规定人数的会议人员、超过会期产生费用。</w:t>
      </w:r>
    </w:p>
    <w:p>
      <w:pPr>
        <w:pStyle w:val="5"/>
        <w:spacing w:line="560" w:lineRule="exact"/>
        <w:ind w:firstLine="640" w:firstLineChars="200"/>
        <w:jc w:val="both"/>
        <w:rPr>
          <w:rFonts w:ascii="Times New Roman" w:hAnsi="Times New Roman" w:eastAsia="方正仿宋简体" w:cs="Times New Roman"/>
          <w:color w:val="auto"/>
          <w:kern w:val="2"/>
          <w:sz w:val="32"/>
          <w:szCs w:val="32"/>
        </w:rPr>
      </w:pPr>
      <w:r>
        <w:rPr>
          <w:rFonts w:ascii="Times New Roman" w:hAnsi="Times New Roman" w:eastAsia="方正仿宋简体" w:cs="Times New Roman"/>
          <w:color w:val="auto"/>
          <w:kern w:val="2"/>
          <w:sz w:val="32"/>
          <w:szCs w:val="32"/>
        </w:rPr>
        <w:br w:type="page"/>
      </w:r>
    </w:p>
    <w:p>
      <w:pPr>
        <w:spacing w:line="560" w:lineRule="exact"/>
        <w:rPr>
          <w:rFonts w:hint="eastAsia" w:ascii="方正公文小标宋" w:hAnsi="方正公文小标宋" w:eastAsia="方正公文小标宋" w:cs="方正公文小标宋"/>
          <w:sz w:val="32"/>
          <w:szCs w:val="32"/>
        </w:rPr>
      </w:pPr>
      <w:bookmarkStart w:id="0" w:name="_Toc294656371"/>
      <w:r>
        <w:rPr>
          <w:rFonts w:hint="eastAsia" w:ascii="方正公文小标宋" w:hAnsi="方正公文小标宋" w:eastAsia="方正公文小标宋" w:cs="方正公文小标宋"/>
          <w:sz w:val="32"/>
          <w:szCs w:val="32"/>
        </w:rPr>
        <w:t>附件2</w:t>
      </w:r>
      <w:r>
        <w:rPr>
          <w:rFonts w:hint="eastAsia" w:ascii="方正公文小标宋" w:hAnsi="方正公文小标宋" w:eastAsia="方正公文小标宋" w:cs="方正公文小标宋"/>
          <w:sz w:val="28"/>
        </w:rPr>
        <w:t xml:space="preserve">                              </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成都市新津区</w:t>
      </w:r>
      <w:r>
        <w:rPr>
          <w:rFonts w:hint="eastAsia" w:ascii="Times New Roman" w:hAnsi="Times New Roman" w:eastAsia="方正小标宋简体" w:cs="Times New Roman"/>
          <w:sz w:val="44"/>
          <w:szCs w:val="44"/>
          <w:lang w:eastAsia="zh-CN"/>
        </w:rPr>
        <w:t>中小微型企业职业健康帮扶</w:t>
      </w:r>
      <w:r>
        <w:rPr>
          <w:rFonts w:ascii="Times New Roman" w:hAnsi="Times New Roman" w:eastAsia="方正小标宋简体" w:cs="Times New Roman"/>
          <w:sz w:val="44"/>
          <w:szCs w:val="44"/>
        </w:rPr>
        <w:t>基金项目项目活动内容和指标说明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年成都市新津区</w:t>
      </w:r>
      <w:r>
        <w:rPr>
          <w:rFonts w:hint="eastAsia" w:ascii="Times New Roman" w:hAnsi="Times New Roman" w:eastAsia="仿宋_GB2312" w:cs="Times New Roman"/>
          <w:sz w:val="32"/>
          <w:szCs w:val="32"/>
          <w:lang w:eastAsia="zh-CN"/>
        </w:rPr>
        <w:t>中小微型企业职业健康帮扶</w:t>
      </w:r>
      <w:r>
        <w:rPr>
          <w:rFonts w:ascii="Times New Roman" w:hAnsi="Times New Roman" w:eastAsia="仿宋_GB2312" w:cs="Times New Roman"/>
          <w:sz w:val="32"/>
          <w:szCs w:val="32"/>
        </w:rPr>
        <w:t>项目支持社会组织开展</w:t>
      </w:r>
      <w:r>
        <w:rPr>
          <w:rFonts w:hint="eastAsia" w:ascii="Times New Roman" w:hAnsi="Times New Roman" w:eastAsia="仿宋_GB2312" w:cs="Times New Roman"/>
          <w:sz w:val="32"/>
          <w:szCs w:val="32"/>
          <w:lang w:val="en-US" w:eastAsia="zh-CN"/>
        </w:rPr>
        <w:t>职业健康帮扶活动</w:t>
      </w:r>
      <w:r>
        <w:rPr>
          <w:rFonts w:ascii="Times New Roman" w:hAnsi="Times New Roman" w:eastAsia="仿宋_GB2312" w:cs="Times New Roman"/>
          <w:sz w:val="32"/>
          <w:szCs w:val="32"/>
        </w:rPr>
        <w:t>。具体活动内容、工作要求和考核办法如下：</w:t>
      </w:r>
    </w:p>
    <w:p>
      <w:pPr>
        <w:spacing w:line="560" w:lineRule="exact"/>
        <w:ind w:firstLine="643" w:firstLineChars="200"/>
        <w:rPr>
          <w:rFonts w:ascii="Times New Roman" w:hAnsi="Times New Roman" w:eastAsia="黑体" w:cs="Times New Roman"/>
          <w:sz w:val="32"/>
          <w:szCs w:val="32"/>
        </w:rPr>
      </w:pPr>
      <w:r>
        <w:rPr>
          <w:rFonts w:ascii="Times New Roman" w:hAnsi="Times New Roman" w:eastAsia="黑体" w:cs="Times New Roman"/>
          <w:b/>
          <w:sz w:val="32"/>
          <w:szCs w:val="32"/>
        </w:rPr>
        <w:t>一、</w:t>
      </w:r>
      <w:r>
        <w:rPr>
          <w:rFonts w:hint="eastAsia" w:ascii="Times New Roman" w:hAnsi="Times New Roman" w:eastAsia="黑体" w:cs="Times New Roman"/>
          <w:sz w:val="32"/>
          <w:szCs w:val="32"/>
          <w:lang w:val="en-US" w:eastAsia="zh-CN"/>
        </w:rPr>
        <w:t>帮扶</w:t>
      </w:r>
      <w:r>
        <w:rPr>
          <w:rFonts w:ascii="Times New Roman" w:hAnsi="Times New Roman" w:eastAsia="黑体" w:cs="Times New Roman"/>
          <w:sz w:val="32"/>
          <w:szCs w:val="32"/>
        </w:rPr>
        <w:t>内容与方式</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帮扶机构可根据</w:t>
      </w:r>
      <w:r>
        <w:rPr>
          <w:rFonts w:hint="eastAsia" w:ascii="仿宋_GB2312" w:hAnsi="仿宋_GB2312" w:eastAsia="仿宋_GB2312" w:cs="仿宋_GB2312"/>
          <w:sz w:val="32"/>
          <w:szCs w:val="32"/>
          <w:lang w:val="en-US" w:eastAsia="zh-CN"/>
        </w:rPr>
        <w:t>20家</w:t>
      </w:r>
      <w:r>
        <w:rPr>
          <w:rFonts w:hint="eastAsia" w:ascii="仿宋_GB2312" w:hAnsi="仿宋_GB2312" w:eastAsia="仿宋_GB2312" w:cs="仿宋_GB2312"/>
          <w:sz w:val="32"/>
          <w:szCs w:val="32"/>
        </w:rPr>
        <w:t>企业实际，采取但不限于以下帮扶内容和方法。</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1.职业病防治管理制度及档案</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（1）制度和操作规程</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帮扶机构应根据《工作场所职业卫生管理规定》要求，协助企业修订、完善职业卫生管理制度和操作规程，</w:t>
      </w:r>
      <w:r>
        <w:rPr>
          <w:rFonts w:ascii="仿宋_GB2312" w:hAnsi="仿宋_GB2312" w:eastAsia="仿宋_GB2312" w:cs="仿宋_GB2312"/>
          <w:sz w:val="32"/>
          <w:szCs w:val="32"/>
        </w:rPr>
        <w:t>确保其</w:t>
      </w:r>
      <w:r>
        <w:rPr>
          <w:rFonts w:hint="eastAsia" w:ascii="仿宋_GB2312" w:hAnsi="仿宋_GB2312" w:eastAsia="仿宋_GB2312" w:cs="仿宋_GB2312"/>
          <w:sz w:val="32"/>
          <w:szCs w:val="32"/>
        </w:rPr>
        <w:t>具有针对性和可操作性。对于生产工艺简单、职业病危害因素单一、不涉及高危类职业病危害因素的企业可适当合并部分职业卫生管理制度，其中职业病危害项目申报制度、职业病危害监测及评价管理制度、建设项目职业病防护设施“三同时”管理制度、职业病危害应急救援与管理制度需单独制定，其余制度可合并制定，合并各项制度需要素齐全，内容精简。</w:t>
      </w:r>
    </w:p>
    <w:p>
      <w:pPr>
        <w:numPr>
          <w:ilvl w:val="0"/>
          <w:numId w:val="2"/>
        </w:num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管理机构和人员</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帮助企业完善或成立职业卫生管理机构，指定专/兼职职业卫生管理人员，优化职业健康管理方式，建立</w:t>
      </w:r>
      <w:r>
        <w:rPr>
          <w:rFonts w:ascii="仿宋_GB2312" w:hAnsi="仿宋_GB2312" w:eastAsia="仿宋_GB2312" w:cs="仿宋_GB2312"/>
          <w:sz w:val="32"/>
          <w:szCs w:val="32"/>
        </w:rPr>
        <w:t>长效</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机制</w:t>
      </w:r>
      <w:r>
        <w:rPr>
          <w:rFonts w:hint="eastAsia" w:ascii="仿宋_GB2312" w:hAnsi="仿宋_GB2312" w:eastAsia="仿宋_GB2312" w:cs="仿宋_GB2312"/>
          <w:sz w:val="32"/>
          <w:szCs w:val="32"/>
        </w:rPr>
        <w:t>。结合企业帮扶效果，可选择：①企业自主管理方式；②托管式服务，“企业+托管服务单位”的联动管理方式；③管家式服务，“企业+技术服务机构+其他相关组织或个人”的团队式管理方式。以上管理方式应在《成都市中小微型企业帮扶效果评估表》作出</w:t>
      </w:r>
      <w:r>
        <w:rPr>
          <w:rFonts w:ascii="仿宋_GB2312" w:hAnsi="仿宋_GB2312" w:eastAsia="仿宋_GB2312" w:cs="仿宋_GB2312"/>
          <w:sz w:val="32"/>
          <w:szCs w:val="32"/>
        </w:rPr>
        <w:t>说明。</w:t>
      </w:r>
    </w:p>
    <w:p>
      <w:pPr>
        <w:numPr>
          <w:ilvl w:val="0"/>
          <w:numId w:val="2"/>
        </w:num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职业卫生档案</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建立“帮扶工具箱”，为企业提供“6个”档案盒，指导被帮扶企业按照《用人单位职业卫生档案管理规范》建立健全6类职业卫生档案。</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2.前期预防</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（1）职业病危害项目申报</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查阅企业申报回执或查询申报系统，核实企业是否完成初次申报/变更申报/</w:t>
      </w:r>
      <w:r>
        <w:rPr>
          <w:rFonts w:ascii="仿宋_GB2312" w:hAnsi="仿宋_GB2312" w:eastAsia="仿宋_GB2312" w:cs="仿宋_GB2312"/>
          <w:sz w:val="32"/>
          <w:szCs w:val="32"/>
        </w:rPr>
        <w:t>年度更新</w:t>
      </w:r>
      <w:r>
        <w:rPr>
          <w:rFonts w:hint="eastAsia" w:ascii="仿宋_GB2312" w:hAnsi="仿宋_GB2312" w:eastAsia="仿宋_GB2312" w:cs="仿宋_GB2312"/>
          <w:sz w:val="32"/>
          <w:szCs w:val="32"/>
        </w:rPr>
        <w:t>、申报内容与实际是否相符、申报内容是否全面。发现不符合要求的应按照工作场所职业病危害因素检测评价报告内容进行完善。</w:t>
      </w:r>
    </w:p>
    <w:p>
      <w:pPr>
        <w:numPr>
          <w:ilvl w:val="0"/>
          <w:numId w:val="3"/>
        </w:num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职业卫生预控服务系统</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核查企业是否注册职业卫生预控服务系统，并查看填报内容，发现不符合要求的，应指导企业进行完善，通过“帮扶工具箱”为企业提供注册、填报流程等操作说明。</w:t>
      </w:r>
    </w:p>
    <w:p>
      <w:pPr>
        <w:numPr>
          <w:ilvl w:val="0"/>
          <w:numId w:val="3"/>
        </w:numPr>
        <w:adjustRightIn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明令禁止的设备和材料</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核实企业是否涉及国家明令禁止使用的可能产生职业病危害的设备和材料，若涉及需为企业书面指出，企业应立即采取更换或停用措施。</w:t>
      </w:r>
    </w:p>
    <w:p>
      <w:pPr>
        <w:numPr>
          <w:ilvl w:val="0"/>
          <w:numId w:val="3"/>
        </w:numPr>
        <w:adjustRightIn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职业病危害作业转移</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实企业是否存在外包、外委、临时用工等形式的生产环节。查阅服务合同（协议）是否明确双方职业健康管理的责任和义务；核实相关方是否具备职业病防护条件、开展职业健康检查和工作场所职业病危害因素检测/评价、配发个人防护用品等核心工作，是否对职业健康工作进行监督、检查和指导。帮扶机构针对发现的问题进行指导完善。</w:t>
      </w:r>
    </w:p>
    <w:p>
      <w:pPr>
        <w:numPr>
          <w:ilvl w:val="0"/>
          <w:numId w:val="3"/>
        </w:num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主要原辅材料的MSDS（物质安全数据表）</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核实现场使用的化学品、放射性同位素和含有放射性物质材料等是否有中文说明书，发现缺少中文说明书的应督促企业向材料供货方索取。</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3.工作场所管理</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（1）生产布局</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对照《工业企业设计卫生标准》相关要求，查找企业在生产布局及工作场所基本卫生条件方面</w:t>
      </w:r>
      <w:r>
        <w:rPr>
          <w:rFonts w:ascii="仿宋_GB2312" w:hAnsi="仿宋_GB2312" w:eastAsia="仿宋_GB2312" w:cs="仿宋_GB2312"/>
          <w:sz w:val="32"/>
          <w:szCs w:val="32"/>
        </w:rPr>
        <w:t>存在的</w:t>
      </w:r>
      <w:r>
        <w:rPr>
          <w:rFonts w:hint="eastAsia" w:ascii="仿宋_GB2312" w:hAnsi="仿宋_GB2312" w:eastAsia="仿宋_GB2312" w:cs="仿宋_GB2312"/>
          <w:sz w:val="32"/>
          <w:szCs w:val="32"/>
        </w:rPr>
        <w:t>问题，向</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提供合理化调整或改进意见并</w:t>
      </w:r>
      <w:r>
        <w:rPr>
          <w:rFonts w:ascii="仿宋_GB2312" w:hAnsi="仿宋_GB2312" w:eastAsia="仿宋_GB2312" w:cs="仿宋_GB2312"/>
          <w:sz w:val="32"/>
          <w:szCs w:val="32"/>
        </w:rPr>
        <w:t>指导落实</w:t>
      </w:r>
      <w:r>
        <w:rPr>
          <w:rFonts w:hint="eastAsia" w:ascii="仿宋_GB2312" w:hAnsi="仿宋_GB2312" w:eastAsia="仿宋_GB2312" w:cs="仿宋_GB2312"/>
          <w:sz w:val="32"/>
          <w:szCs w:val="32"/>
        </w:rPr>
        <w:t>。</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（2）职业病危害因素定期检测</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查看企业是否</w:t>
      </w:r>
      <w:r>
        <w:rPr>
          <w:rFonts w:ascii="仿宋_GB2312" w:hAnsi="仿宋_GB2312" w:eastAsia="仿宋_GB2312" w:cs="仿宋_GB2312"/>
          <w:sz w:val="32"/>
          <w:szCs w:val="32"/>
        </w:rPr>
        <w:t>按规定开展</w:t>
      </w:r>
      <w:r>
        <w:rPr>
          <w:rFonts w:hint="eastAsia" w:ascii="仿宋_GB2312" w:hAnsi="仿宋_GB2312" w:eastAsia="仿宋_GB2312" w:cs="仿宋_GB2312"/>
          <w:sz w:val="32"/>
          <w:szCs w:val="32"/>
        </w:rPr>
        <w:t>职业病危害因素检测评价，核实最近1次检测评价是否做到场所全面、主要危害因素无遗漏，发现问题是否采取改进措施，</w:t>
      </w:r>
      <w:r>
        <w:rPr>
          <w:rFonts w:ascii="仿宋_GB2312" w:hAnsi="仿宋_GB2312" w:eastAsia="仿宋_GB2312" w:cs="仿宋_GB2312"/>
          <w:sz w:val="32"/>
          <w:szCs w:val="32"/>
        </w:rPr>
        <w:t>对存在的</w:t>
      </w:r>
      <w:r>
        <w:rPr>
          <w:rFonts w:hint="eastAsia" w:ascii="仿宋_GB2312" w:hAnsi="仿宋_GB2312" w:eastAsia="仿宋_GB2312" w:cs="仿宋_GB2312"/>
          <w:sz w:val="32"/>
          <w:szCs w:val="32"/>
        </w:rPr>
        <w:t>问题纳入</w:t>
      </w:r>
      <w:r>
        <w:rPr>
          <w:rFonts w:ascii="仿宋_GB2312" w:hAnsi="仿宋_GB2312" w:eastAsia="仿宋_GB2312" w:cs="仿宋_GB2312"/>
          <w:sz w:val="32"/>
          <w:szCs w:val="32"/>
        </w:rPr>
        <w:t>问题清单</w:t>
      </w:r>
      <w:r>
        <w:rPr>
          <w:rFonts w:hint="eastAsia" w:ascii="仿宋_GB2312" w:hAnsi="仿宋_GB2312" w:eastAsia="仿宋_GB2312" w:cs="仿宋_GB2312"/>
          <w:sz w:val="32"/>
          <w:szCs w:val="32"/>
        </w:rPr>
        <w:t>整改落实；问题</w:t>
      </w:r>
      <w:r>
        <w:rPr>
          <w:rFonts w:ascii="仿宋_GB2312" w:hAnsi="仿宋_GB2312" w:eastAsia="仿宋_GB2312" w:cs="仿宋_GB2312"/>
          <w:sz w:val="32"/>
          <w:szCs w:val="32"/>
        </w:rPr>
        <w:t>整改完成后</w:t>
      </w:r>
      <w:r>
        <w:rPr>
          <w:rFonts w:hint="eastAsia" w:ascii="仿宋_GB2312" w:hAnsi="仿宋_GB2312" w:eastAsia="仿宋_GB2312" w:cs="仿宋_GB2312"/>
          <w:sz w:val="32"/>
          <w:szCs w:val="32"/>
        </w:rPr>
        <w:t>，帮扶</w:t>
      </w:r>
      <w:r>
        <w:rPr>
          <w:rFonts w:ascii="仿宋_GB2312" w:hAnsi="仿宋_GB2312" w:eastAsia="仿宋_GB2312" w:cs="仿宋_GB2312"/>
          <w:sz w:val="32"/>
          <w:szCs w:val="32"/>
        </w:rPr>
        <w:t>企业需及时</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年度定期检测，</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检测</w:t>
      </w:r>
      <w:r>
        <w:rPr>
          <w:rFonts w:hint="eastAsia" w:ascii="仿宋_GB2312" w:hAnsi="仿宋_GB2312" w:eastAsia="仿宋_GB2312" w:cs="仿宋_GB2312"/>
          <w:sz w:val="32"/>
          <w:szCs w:val="32"/>
        </w:rPr>
        <w:t>评判职业病</w:t>
      </w:r>
      <w:r>
        <w:rPr>
          <w:rFonts w:ascii="仿宋_GB2312" w:hAnsi="仿宋_GB2312" w:eastAsia="仿宋_GB2312" w:cs="仿宋_GB2312"/>
          <w:sz w:val="32"/>
          <w:szCs w:val="32"/>
        </w:rPr>
        <w:t>危害整治效果</w:t>
      </w:r>
      <w:r>
        <w:rPr>
          <w:rFonts w:hint="eastAsia" w:ascii="仿宋_GB2312" w:hAnsi="仿宋_GB2312" w:eastAsia="仿宋_GB2312" w:cs="仿宋_GB2312"/>
          <w:sz w:val="32"/>
          <w:szCs w:val="32"/>
        </w:rPr>
        <w:t>，按照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建设项目</w:t>
      </w:r>
      <w:r>
        <w:rPr>
          <w:rFonts w:ascii="仿宋_GB2312" w:hAnsi="仿宋_GB2312" w:eastAsia="仿宋_GB2312" w:cs="仿宋_GB2312"/>
          <w:sz w:val="32"/>
          <w:szCs w:val="32"/>
        </w:rPr>
        <w:t>职业病危害风险分类管理目录》完成企业职业病</w:t>
      </w:r>
      <w:r>
        <w:rPr>
          <w:rFonts w:hint="eastAsia" w:ascii="仿宋_GB2312" w:hAnsi="仿宋_GB2312" w:eastAsia="仿宋_GB2312" w:cs="仿宋_GB2312"/>
          <w:sz w:val="32"/>
          <w:szCs w:val="32"/>
        </w:rPr>
        <w:t>危害风险</w:t>
      </w:r>
      <w:r>
        <w:rPr>
          <w:rFonts w:ascii="仿宋_GB2312" w:hAnsi="仿宋_GB2312" w:eastAsia="仿宋_GB2312" w:cs="仿宋_GB2312"/>
          <w:sz w:val="32"/>
          <w:szCs w:val="32"/>
        </w:rPr>
        <w:t>分类。</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（3）超标点整治</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分析企业职业病</w:t>
      </w:r>
      <w:r>
        <w:rPr>
          <w:rFonts w:ascii="仿宋_GB2312" w:hAnsi="仿宋_GB2312" w:eastAsia="仿宋_GB2312" w:cs="仿宋_GB2312"/>
          <w:sz w:val="32"/>
          <w:szCs w:val="32"/>
        </w:rPr>
        <w:t>危害</w:t>
      </w:r>
      <w:r>
        <w:rPr>
          <w:rFonts w:hint="eastAsia" w:ascii="仿宋_GB2312" w:hAnsi="仿宋_GB2312" w:eastAsia="仿宋_GB2312" w:cs="仿宋_GB2312"/>
          <w:sz w:val="32"/>
          <w:szCs w:val="32"/>
        </w:rPr>
        <w:t>超标原因，协助企业制定切实可行的整改方案并指导落实。整改方案应包括：超标岗位名称、超标原因、整改措施、整改时限和资金投入等；使</w:t>
      </w:r>
      <w:r>
        <w:rPr>
          <w:rFonts w:ascii="仿宋_GB2312" w:hAnsi="仿宋_GB2312" w:eastAsia="仿宋_GB2312" w:cs="仿宋_GB2312"/>
          <w:sz w:val="32"/>
          <w:szCs w:val="32"/>
        </w:rPr>
        <w:t>作业岗位危害因素浓（</w:t>
      </w:r>
      <w:r>
        <w:rPr>
          <w:rFonts w:hint="eastAsia" w:ascii="仿宋_GB2312" w:hAnsi="仿宋_GB2312" w:eastAsia="仿宋_GB2312" w:cs="仿宋_GB2312"/>
          <w:sz w:val="32"/>
          <w:szCs w:val="32"/>
        </w:rPr>
        <w:t>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度</w:t>
      </w:r>
      <w:r>
        <w:rPr>
          <w:rFonts w:ascii="仿宋_GB2312" w:hAnsi="仿宋_GB2312" w:eastAsia="仿宋_GB2312" w:cs="仿宋_GB2312"/>
          <w:sz w:val="32"/>
          <w:szCs w:val="32"/>
        </w:rPr>
        <w:t>达到</w:t>
      </w:r>
      <w:r>
        <w:rPr>
          <w:rFonts w:hint="eastAsia" w:ascii="仿宋_GB2312" w:hAnsi="仿宋_GB2312" w:eastAsia="仿宋_GB2312" w:cs="仿宋_GB2312"/>
          <w:sz w:val="32"/>
          <w:szCs w:val="32"/>
        </w:rPr>
        <w:t>限值</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目前</w:t>
      </w:r>
      <w:r>
        <w:rPr>
          <w:rFonts w:ascii="仿宋_GB2312" w:hAnsi="仿宋_GB2312" w:eastAsia="仿宋_GB2312" w:cs="仿宋_GB2312"/>
          <w:sz w:val="32"/>
          <w:szCs w:val="32"/>
        </w:rPr>
        <w:t>暂无</w:t>
      </w:r>
      <w:r>
        <w:rPr>
          <w:rFonts w:hint="eastAsia" w:ascii="仿宋_GB2312" w:hAnsi="仿宋_GB2312" w:eastAsia="仿宋_GB2312" w:cs="仿宋_GB2312"/>
          <w:sz w:val="32"/>
          <w:szCs w:val="32"/>
        </w:rPr>
        <w:t>可行</w:t>
      </w:r>
      <w:r>
        <w:rPr>
          <w:rFonts w:ascii="仿宋_GB2312" w:hAnsi="仿宋_GB2312" w:eastAsia="仿宋_GB2312" w:cs="仿宋_GB2312"/>
          <w:sz w:val="32"/>
          <w:szCs w:val="32"/>
        </w:rPr>
        <w:t>整改</w:t>
      </w:r>
      <w:r>
        <w:rPr>
          <w:rFonts w:hint="eastAsia" w:ascii="仿宋_GB2312" w:hAnsi="仿宋_GB2312" w:eastAsia="仿宋_GB2312" w:cs="仿宋_GB2312"/>
          <w:sz w:val="32"/>
          <w:szCs w:val="32"/>
        </w:rPr>
        <w:t>措施</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应向</w:t>
      </w:r>
      <w:r>
        <w:rPr>
          <w:rFonts w:ascii="仿宋_GB2312" w:hAnsi="仿宋_GB2312" w:eastAsia="仿宋_GB2312" w:cs="仿宋_GB2312"/>
          <w:sz w:val="32"/>
          <w:szCs w:val="32"/>
        </w:rPr>
        <w:t>企业提出采取个体防护、减少作业时间等管理措施，应</w:t>
      </w:r>
      <w:r>
        <w:rPr>
          <w:rFonts w:hint="eastAsia" w:ascii="仿宋_GB2312" w:hAnsi="仿宋_GB2312" w:eastAsia="仿宋_GB2312" w:cs="仿宋_GB2312"/>
          <w:sz w:val="32"/>
          <w:szCs w:val="32"/>
        </w:rPr>
        <w:t>在《成都市中小微型企业帮扶效果评估表》作出</w:t>
      </w:r>
      <w:r>
        <w:rPr>
          <w:rFonts w:ascii="仿宋_GB2312" w:hAnsi="仿宋_GB2312" w:eastAsia="仿宋_GB2312" w:cs="仿宋_GB2312"/>
          <w:sz w:val="32"/>
          <w:szCs w:val="32"/>
        </w:rPr>
        <w:t>说明。</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（4）合同告知</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现场查阅</w:t>
      </w:r>
      <w:r>
        <w:rPr>
          <w:rFonts w:ascii="仿宋_GB2312" w:hAnsi="仿宋_GB2312" w:eastAsia="仿宋_GB2312" w:cs="仿宋_GB2312"/>
          <w:sz w:val="32"/>
          <w:szCs w:val="32"/>
        </w:rPr>
        <w:t>劳动合</w:t>
      </w:r>
      <w:r>
        <w:rPr>
          <w:rFonts w:hint="eastAsia" w:ascii="仿宋_GB2312" w:hAnsi="仿宋_GB2312" w:eastAsia="仿宋_GB2312" w:cs="仿宋_GB2312"/>
          <w:sz w:val="32"/>
          <w:szCs w:val="32"/>
        </w:rPr>
        <w:t>同，查看</w:t>
      </w:r>
      <w:r>
        <w:rPr>
          <w:rFonts w:ascii="仿宋_GB2312" w:hAnsi="仿宋_GB2312" w:eastAsia="仿宋_GB2312" w:cs="仿宋_GB2312"/>
          <w:sz w:val="32"/>
          <w:szCs w:val="32"/>
        </w:rPr>
        <w:t>是否对</w:t>
      </w:r>
      <w:r>
        <w:rPr>
          <w:rFonts w:hint="eastAsia" w:ascii="仿宋_GB2312" w:hAnsi="仿宋_GB2312" w:eastAsia="仿宋_GB2312" w:cs="仿宋_GB2312"/>
          <w:sz w:val="32"/>
          <w:szCs w:val="32"/>
        </w:rPr>
        <w:t>劳动者进行了</w:t>
      </w:r>
      <w:r>
        <w:rPr>
          <w:rFonts w:ascii="仿宋_GB2312" w:hAnsi="仿宋_GB2312" w:eastAsia="仿宋_GB2312" w:cs="仿宋_GB2312"/>
          <w:sz w:val="32"/>
          <w:szCs w:val="32"/>
        </w:rPr>
        <w:t>职业病危害合同</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补充告知，</w:t>
      </w:r>
      <w:r>
        <w:rPr>
          <w:rFonts w:hint="eastAsia" w:ascii="仿宋_GB2312" w:hAnsi="仿宋_GB2312" w:eastAsia="仿宋_GB2312" w:cs="仿宋_GB2312"/>
          <w:sz w:val="32"/>
          <w:szCs w:val="32"/>
        </w:rPr>
        <w:t>告知内容是否准确完整。告知内容应包括：岗位接触的职业病危害及其后果、防护措施和待遇等。针对告知不规范和未告知的企业，通过“帮扶工具箱”为企业提供告知模板，指导企业规范完善。</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（5）公告栏、警示标识和告知卡</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核实企业职业卫生公告栏、警示标识和告知卡设置情况，对照规范和标准判定设置的针对性和符合性。对存在问题可通过“帮扶工具箱”的方式，指导企业进行整改和规范。</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4.防护设施和个人防护用品</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（1）职业病防护设施</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指导企业建立</w:t>
      </w:r>
      <w:r>
        <w:rPr>
          <w:rFonts w:ascii="仿宋_GB2312" w:hAnsi="仿宋_GB2312" w:eastAsia="仿宋_GB2312" w:cs="仿宋_GB2312"/>
          <w:sz w:val="32"/>
          <w:szCs w:val="32"/>
        </w:rPr>
        <w:t>完善</w:t>
      </w:r>
      <w:r>
        <w:rPr>
          <w:rFonts w:hint="eastAsia" w:ascii="仿宋_GB2312" w:hAnsi="仿宋_GB2312" w:eastAsia="仿宋_GB2312" w:cs="仿宋_GB2312"/>
          <w:sz w:val="32"/>
          <w:szCs w:val="32"/>
        </w:rPr>
        <w:t>职业病防护设施台账、检维护台账。对企业设置的防护设施进行查勘，重点关注职业病危害严重岗位和超标岗位。对不符合职业病危害源头治理、防护设施设置不合理和不符合标准要求的提出可行性建议，结合</w:t>
      </w:r>
      <w:r>
        <w:rPr>
          <w:rFonts w:ascii="仿宋_GB2312" w:hAnsi="仿宋_GB2312" w:eastAsia="仿宋_GB2312" w:cs="仿宋_GB2312"/>
          <w:sz w:val="32"/>
          <w:szCs w:val="32"/>
        </w:rPr>
        <w:t>超标</w:t>
      </w:r>
      <w:r>
        <w:rPr>
          <w:rFonts w:hint="eastAsia" w:ascii="仿宋_GB2312" w:hAnsi="仿宋_GB2312" w:eastAsia="仿宋_GB2312" w:cs="仿宋_GB2312"/>
          <w:sz w:val="32"/>
          <w:szCs w:val="32"/>
        </w:rPr>
        <w:t>治理</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rPr>
        <w:t>指导企业进行改进。</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对于高危粉尘作业，指导企业采取以下综合性防尘措施：在满足生产工艺的条件下，采用湿法作业; 采取革、</w:t>
      </w:r>
      <w:r>
        <w:rPr>
          <w:rFonts w:ascii="仿宋_GB2312" w:hAnsi="仿宋_GB2312" w:eastAsia="仿宋_GB2312" w:cs="仿宋_GB2312"/>
          <w:sz w:val="32"/>
          <w:szCs w:val="32"/>
        </w:rPr>
        <w:t>水、密</w:t>
      </w:r>
      <w:r>
        <w:rPr>
          <w:rFonts w:hint="eastAsia" w:ascii="仿宋_GB2312" w:hAnsi="仿宋_GB2312" w:eastAsia="仿宋_GB2312" w:cs="仿宋_GB2312"/>
          <w:sz w:val="32"/>
          <w:szCs w:val="32"/>
        </w:rPr>
        <w:t>、风、护、教、管、查等</w:t>
      </w:r>
      <w:r>
        <w:rPr>
          <w:rFonts w:ascii="仿宋_GB2312" w:hAnsi="仿宋_GB2312" w:eastAsia="仿宋_GB2312" w:cs="仿宋_GB2312"/>
          <w:sz w:val="32"/>
          <w:szCs w:val="32"/>
        </w:rPr>
        <w:t>综合</w:t>
      </w:r>
      <w:r>
        <w:rPr>
          <w:rFonts w:hint="eastAsia" w:ascii="仿宋_GB2312" w:hAnsi="仿宋_GB2312" w:eastAsia="仿宋_GB2312" w:cs="仿宋_GB2312"/>
          <w:sz w:val="32"/>
          <w:szCs w:val="32"/>
        </w:rPr>
        <w:t>措施; 高危粉尘作业与其他作业隔离。对于高毒作业，指导企业采取综合性防毒措施：在满足生产工艺的条件下，以无毒代有毒，低毒代高毒；对毒物发生源实施密闭或排风净化; 高毒作业与其他作业隔离; 将劳动者与高毒作业环境隔离;高毒作业点设置局部排风或者混合通风装置。</w:t>
      </w:r>
    </w:p>
    <w:p>
      <w:pPr>
        <w:numPr>
          <w:ilvl w:val="0"/>
          <w:numId w:val="4"/>
        </w:num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个人防护用品</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查阅企业购买、发放登记台账，了解防护用品维护、更换情况，检查劳动者防护用品佩戴情况。根据企业职业卫生特征结合相关标准，评估企业个人防护用品配备是否符合相关要求，帮助企业制定完善防护用品配备清单，确定发放周期，培训劳动者正确佩戴防护用品。</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5.职业卫生培训</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（1）主要负责人和职业卫生管理人员培训</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核实企业主要负责人和职业卫生管理人员是否依法参加</w:t>
      </w:r>
      <w:r>
        <w:rPr>
          <w:rFonts w:ascii="仿宋_GB2312" w:hAnsi="仿宋_GB2312" w:eastAsia="仿宋_GB2312" w:cs="仿宋_GB2312"/>
          <w:sz w:val="32"/>
          <w:szCs w:val="32"/>
        </w:rPr>
        <w:t>职业卫生</w:t>
      </w:r>
      <w:r>
        <w:rPr>
          <w:rFonts w:hint="eastAsia" w:ascii="仿宋_GB2312" w:hAnsi="仿宋_GB2312" w:eastAsia="仿宋_GB2312" w:cs="仿宋_GB2312"/>
          <w:sz w:val="32"/>
          <w:szCs w:val="32"/>
        </w:rPr>
        <w:t>培训。培训内容应涵盖：职业病防治相关法律法规规章、职业病危害防治基础知识、主要职业病危害因素及防控措施、职业病防护设施维护与管理、职业健康管理要求和措施、个人防护用品的选择、健康企业创建标准、</w:t>
      </w:r>
      <w:r>
        <w:rPr>
          <w:rFonts w:ascii="仿宋_GB2312" w:hAnsi="仿宋_GB2312" w:eastAsia="仿宋_GB2312" w:cs="仿宋_GB2312"/>
          <w:sz w:val="32"/>
          <w:szCs w:val="32"/>
        </w:rPr>
        <w:t>新冠肺炎疫情防控</w:t>
      </w:r>
      <w:r>
        <w:rPr>
          <w:rFonts w:hint="eastAsia" w:ascii="仿宋_GB2312" w:hAnsi="仿宋_GB2312" w:eastAsia="仿宋_GB2312" w:cs="仿宋_GB2312"/>
          <w:sz w:val="32"/>
          <w:szCs w:val="32"/>
        </w:rPr>
        <w:t>知识等。初次培训不得少于16学时，继续教育不得少于8学时。</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）接害岗位劳动者培训</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对接触矽尘、石棉粉尘、高毒物品、致畸、致癌、致突变物和放射性危害等高危类职业病危害因素的劳动者，进行职业卫生培训。可采取集中授课、观看授课视频等方式实施，培训主要内容应包含：本企业</w:t>
      </w:r>
      <w:r>
        <w:rPr>
          <w:rFonts w:ascii="仿宋_GB2312" w:hAnsi="仿宋_GB2312" w:eastAsia="仿宋_GB2312" w:cs="仿宋_GB2312"/>
          <w:sz w:val="32"/>
          <w:szCs w:val="32"/>
        </w:rPr>
        <w:t>职业病危害及防护、</w:t>
      </w:r>
      <w:r>
        <w:rPr>
          <w:rFonts w:hint="eastAsia" w:ascii="仿宋_GB2312" w:hAnsi="仿宋_GB2312" w:eastAsia="仿宋_GB2312" w:cs="仿宋_GB2312"/>
          <w:sz w:val="32"/>
          <w:szCs w:val="32"/>
        </w:rPr>
        <w:t>职业卫生管理制度和岗位操作规程、劳动者的权益和责任、职业健康检查和职业防护的重要性、个人防护用品的使用和维护等，每年</w:t>
      </w:r>
      <w:r>
        <w:rPr>
          <w:rFonts w:ascii="仿宋_GB2312" w:hAnsi="仿宋_GB2312" w:eastAsia="仿宋_GB2312" w:cs="仿宋_GB2312"/>
          <w:sz w:val="32"/>
          <w:szCs w:val="32"/>
        </w:rPr>
        <w:t>至少开展培训</w:t>
      </w:r>
      <w:r>
        <w:rPr>
          <w:rFonts w:hint="eastAsia" w:ascii="仿宋_GB2312" w:hAnsi="仿宋_GB2312" w:eastAsia="仿宋_GB2312" w:cs="仿宋_GB2312"/>
          <w:sz w:val="32"/>
          <w:szCs w:val="32"/>
        </w:rPr>
        <w:t>1次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初次培训不得少于8学时,继续教育不得少于4学时。</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6.职业健康监护</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（1）职业健康检查</w:t>
      </w:r>
    </w:p>
    <w:p>
      <w:pPr>
        <w:adjustRightInd w:val="0"/>
        <w:spacing w:line="58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核实</w:t>
      </w:r>
      <w:r>
        <w:rPr>
          <w:rFonts w:ascii="仿宋_GB2312" w:hAnsi="仿宋_GB2312" w:eastAsia="仿宋_GB2312" w:cs="仿宋_GB2312"/>
          <w:sz w:val="32"/>
          <w:szCs w:val="32"/>
        </w:rPr>
        <w:t>企业职业健康检查工作情况，对存在的问题，</w:t>
      </w:r>
      <w:r>
        <w:rPr>
          <w:rFonts w:hint="eastAsia" w:ascii="仿宋_GB2312" w:hAnsi="仿宋_GB2312" w:eastAsia="仿宋_GB2312" w:cs="仿宋_GB2312"/>
          <w:sz w:val="32"/>
          <w:szCs w:val="32"/>
        </w:rPr>
        <w:t>根据</w:t>
      </w:r>
      <w:r>
        <w:rPr>
          <w:rFonts w:hint="eastAsia" w:ascii="仿宋" w:hAnsi="仿宋" w:eastAsia="仿宋" w:cs="仿宋"/>
          <w:sz w:val="32"/>
          <w:szCs w:val="32"/>
        </w:rPr>
        <w:t>企业职业病危害因素检测评价</w:t>
      </w:r>
      <w:r>
        <w:rPr>
          <w:rFonts w:ascii="仿宋" w:hAnsi="仿宋" w:eastAsia="仿宋" w:cs="仿宋"/>
          <w:sz w:val="32"/>
          <w:szCs w:val="32"/>
        </w:rPr>
        <w:t>结果</w:t>
      </w:r>
      <w:r>
        <w:rPr>
          <w:rFonts w:hint="eastAsia" w:ascii="仿宋" w:hAnsi="仿宋" w:eastAsia="仿宋" w:cs="仿宋"/>
          <w:sz w:val="32"/>
          <w:szCs w:val="32"/>
        </w:rPr>
        <w:t>，提出开展职业健康检查的岗位和应检项目，以及上岗前、在岗期间、离岗时职业健康检查</w:t>
      </w:r>
      <w:r>
        <w:rPr>
          <w:rFonts w:ascii="仿宋" w:hAnsi="仿宋" w:eastAsia="仿宋" w:cs="仿宋"/>
          <w:sz w:val="32"/>
          <w:szCs w:val="32"/>
        </w:rPr>
        <w:t>相关要求</w:t>
      </w:r>
      <w:r>
        <w:rPr>
          <w:rFonts w:hint="eastAsia" w:ascii="仿宋" w:hAnsi="仿宋" w:eastAsia="仿宋" w:cs="仿宋"/>
          <w:sz w:val="32"/>
          <w:szCs w:val="32"/>
        </w:rPr>
        <w:t>并</w:t>
      </w:r>
      <w:r>
        <w:rPr>
          <w:rFonts w:ascii="仿宋" w:hAnsi="仿宋" w:eastAsia="仿宋" w:cs="仿宋"/>
          <w:sz w:val="32"/>
          <w:szCs w:val="32"/>
        </w:rPr>
        <w:t>指导落实</w:t>
      </w:r>
      <w:r>
        <w:rPr>
          <w:rFonts w:hint="eastAsia" w:ascii="仿宋" w:hAnsi="仿宋" w:eastAsia="仿宋" w:cs="仿宋"/>
          <w:sz w:val="32"/>
          <w:szCs w:val="32"/>
        </w:rPr>
        <w:t>。</w:t>
      </w:r>
    </w:p>
    <w:p>
      <w:pPr>
        <w:adjustRightIn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（2）体检异常人员的处置</w:t>
      </w:r>
    </w:p>
    <w:p>
      <w:pPr>
        <w:adjustRightIn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追踪职业相关体检异常人员的复查情况、疑似职业病病例的诊断情况、职业禁忌证和职业病病人的处置情况，指导企业妥善处置。</w:t>
      </w:r>
    </w:p>
    <w:p>
      <w:pPr>
        <w:adjustRightInd w:val="0"/>
        <w:spacing w:line="580" w:lineRule="exact"/>
        <w:ind w:left="630"/>
        <w:rPr>
          <w:rFonts w:ascii="仿宋" w:hAnsi="仿宋" w:eastAsia="仿宋" w:cs="仿宋"/>
          <w:sz w:val="32"/>
          <w:szCs w:val="32"/>
        </w:rPr>
      </w:pPr>
      <w:r>
        <w:rPr>
          <w:rFonts w:hint="eastAsia" w:ascii="仿宋" w:hAnsi="仿宋" w:eastAsia="仿宋" w:cs="仿宋"/>
          <w:sz w:val="32"/>
          <w:szCs w:val="32"/>
        </w:rPr>
        <w:t>7.应急管理</w:t>
      </w:r>
    </w:p>
    <w:p>
      <w:pPr>
        <w:numPr>
          <w:ilvl w:val="0"/>
          <w:numId w:val="5"/>
        </w:numPr>
        <w:adjustRightIn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应急救援预案与演练</w:t>
      </w:r>
    </w:p>
    <w:p>
      <w:pPr>
        <w:adjustRightIn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帮助企业辨识可能发生的职业病危害事故、发生的场所和可能发生的环节，指导企业制定完善应急预案和现场处置方案，指导企业开展应急培训和演练。</w:t>
      </w:r>
    </w:p>
    <w:p>
      <w:pPr>
        <w:numPr>
          <w:ilvl w:val="0"/>
          <w:numId w:val="5"/>
        </w:numPr>
        <w:adjustRightIn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应急设施管理</w:t>
      </w:r>
    </w:p>
    <w:p>
      <w:pPr>
        <w:adjustRightIn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对企业配置的应急设施和物资进行核实，评估是否</w:t>
      </w:r>
      <w:r>
        <w:rPr>
          <w:rFonts w:ascii="仿宋" w:hAnsi="仿宋" w:eastAsia="仿宋" w:cs="仿宋"/>
          <w:sz w:val="32"/>
          <w:szCs w:val="32"/>
        </w:rPr>
        <w:t>满足相应职业病危害</w:t>
      </w:r>
      <w:r>
        <w:rPr>
          <w:rFonts w:hint="eastAsia" w:ascii="仿宋" w:hAnsi="仿宋" w:eastAsia="仿宋" w:cs="仿宋"/>
          <w:sz w:val="32"/>
          <w:szCs w:val="32"/>
        </w:rPr>
        <w:t>事故</w:t>
      </w:r>
      <w:r>
        <w:rPr>
          <w:rFonts w:ascii="仿宋" w:hAnsi="仿宋" w:eastAsia="仿宋" w:cs="仿宋"/>
          <w:sz w:val="32"/>
          <w:szCs w:val="32"/>
        </w:rPr>
        <w:t>的</w:t>
      </w:r>
      <w:r>
        <w:rPr>
          <w:rFonts w:hint="eastAsia" w:ascii="仿宋" w:hAnsi="仿宋" w:eastAsia="仿宋" w:cs="仿宋"/>
          <w:sz w:val="32"/>
          <w:szCs w:val="32"/>
        </w:rPr>
        <w:t>应急</w:t>
      </w:r>
      <w:r>
        <w:rPr>
          <w:rFonts w:ascii="仿宋" w:hAnsi="仿宋" w:eastAsia="仿宋" w:cs="仿宋"/>
          <w:sz w:val="32"/>
          <w:szCs w:val="32"/>
        </w:rPr>
        <w:t>救援需要，</w:t>
      </w:r>
      <w:r>
        <w:rPr>
          <w:rFonts w:hint="eastAsia" w:ascii="仿宋" w:hAnsi="仿宋" w:eastAsia="仿宋" w:cs="仿宋"/>
          <w:sz w:val="32"/>
          <w:szCs w:val="32"/>
        </w:rPr>
        <w:t>指导企业按照标准和规范要求进行完善，并建立应急救援设施设备台账。</w:t>
      </w:r>
    </w:p>
    <w:p>
      <w:pPr>
        <w:spacing w:line="580" w:lineRule="exact"/>
        <w:ind w:left="640"/>
        <w:rPr>
          <w:rFonts w:ascii="楷体" w:hAnsi="楷体" w:eastAsia="楷体" w:cs="仿宋"/>
          <w:sz w:val="32"/>
          <w:szCs w:val="32"/>
        </w:rPr>
      </w:pPr>
      <w:r>
        <w:rPr>
          <w:rFonts w:hint="eastAsia" w:ascii="楷体" w:hAnsi="楷体" w:eastAsia="楷体" w:cs="仿宋"/>
          <w:sz w:val="32"/>
          <w:szCs w:val="32"/>
        </w:rPr>
        <w:t>（三）帮扶工具箱。</w:t>
      </w:r>
    </w:p>
    <w:p>
      <w:pPr>
        <w:numPr>
          <w:ilvl w:val="0"/>
          <w:numId w:val="6"/>
        </w:numPr>
        <w:adjustRightInd w:val="0"/>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档案盒</w:t>
      </w:r>
    </w:p>
    <w:p>
      <w:pPr>
        <w:numPr>
          <w:ilvl w:val="0"/>
          <w:numId w:val="6"/>
        </w:numPr>
        <w:adjustRightInd w:val="0"/>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警示标识和告知卡</w:t>
      </w:r>
    </w:p>
    <w:p>
      <w:pPr>
        <w:numPr>
          <w:ilvl w:val="0"/>
          <w:numId w:val="6"/>
        </w:numPr>
        <w:adjustRightInd w:val="0"/>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职业病危害因素申报：网址和填报说明（图文形式）</w:t>
      </w:r>
    </w:p>
    <w:p>
      <w:pPr>
        <w:numPr>
          <w:ilvl w:val="0"/>
          <w:numId w:val="6"/>
        </w:numPr>
        <w:adjustRightInd w:val="0"/>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职业卫生预控服务</w:t>
      </w:r>
      <w:r>
        <w:rPr>
          <w:rFonts w:ascii="仿宋" w:hAnsi="仿宋" w:eastAsia="仿宋" w:cs="仿宋"/>
          <w:sz w:val="30"/>
          <w:szCs w:val="30"/>
        </w:rPr>
        <w:t>系</w:t>
      </w:r>
      <w:r>
        <w:rPr>
          <w:rFonts w:hint="eastAsia" w:ascii="仿宋" w:hAnsi="仿宋" w:eastAsia="仿宋" w:cs="仿宋"/>
          <w:sz w:val="30"/>
          <w:szCs w:val="30"/>
        </w:rPr>
        <w:t>统注册及运用说明</w:t>
      </w:r>
    </w:p>
    <w:p>
      <w:pPr>
        <w:numPr>
          <w:ilvl w:val="0"/>
          <w:numId w:val="6"/>
        </w:numPr>
        <w:adjustRightInd w:val="0"/>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职业危害告知模板（补充合同等）</w:t>
      </w:r>
    </w:p>
    <w:p>
      <w:pPr>
        <w:numPr>
          <w:ilvl w:val="0"/>
          <w:numId w:val="6"/>
        </w:numPr>
        <w:adjustRightInd w:val="0"/>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接害岗位应配备的个人防护用品清单及样品</w:t>
      </w:r>
    </w:p>
    <w:p>
      <w:pPr>
        <w:numPr>
          <w:ilvl w:val="0"/>
          <w:numId w:val="6"/>
        </w:numPr>
        <w:adjustRightInd w:val="0"/>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职业健康检查异常情况处理流程</w:t>
      </w:r>
    </w:p>
    <w:p>
      <w:pPr>
        <w:numPr>
          <w:ilvl w:val="0"/>
          <w:numId w:val="6"/>
        </w:numPr>
        <w:adjustRightInd w:val="0"/>
        <w:spacing w:line="580" w:lineRule="exact"/>
        <w:ind w:firstLine="568" w:firstLineChars="200"/>
        <w:rPr>
          <w:rFonts w:ascii="仿宋" w:hAnsi="仿宋" w:eastAsia="仿宋" w:cs="仿宋"/>
          <w:spacing w:val="-8"/>
          <w:sz w:val="30"/>
          <w:szCs w:val="30"/>
        </w:rPr>
      </w:pPr>
      <w:r>
        <w:rPr>
          <w:rFonts w:hint="eastAsia" w:ascii="仿宋" w:hAnsi="仿宋" w:eastAsia="仿宋" w:cs="仿宋"/>
          <w:spacing w:val="-8"/>
          <w:sz w:val="30"/>
          <w:szCs w:val="30"/>
        </w:rPr>
        <w:t>宣传资料：相关</w:t>
      </w:r>
      <w:r>
        <w:rPr>
          <w:rFonts w:ascii="仿宋" w:hAnsi="仿宋" w:eastAsia="仿宋" w:cs="仿宋"/>
          <w:spacing w:val="-8"/>
          <w:sz w:val="30"/>
          <w:szCs w:val="30"/>
        </w:rPr>
        <w:t>标准规范、宣传画册、警示案例读本等</w:t>
      </w:r>
    </w:p>
    <w:p>
      <w:pPr>
        <w:numPr>
          <w:ilvl w:val="0"/>
          <w:numId w:val="6"/>
        </w:numPr>
        <w:adjustRightInd w:val="0"/>
        <w:spacing w:line="580" w:lineRule="exact"/>
        <w:ind w:firstLine="600" w:firstLineChars="200"/>
        <w:rPr>
          <w:rFonts w:ascii="仿宋" w:hAnsi="仿宋" w:eastAsia="仿宋" w:cs="仿宋"/>
          <w:sz w:val="30"/>
          <w:szCs w:val="30"/>
        </w:rPr>
      </w:pPr>
      <w:r>
        <w:rPr>
          <w:rFonts w:hint="eastAsia" w:ascii="仿宋" w:hAnsi="仿宋" w:eastAsia="仿宋" w:cs="仿宋"/>
          <w:sz w:val="30"/>
          <w:szCs w:val="30"/>
        </w:rPr>
        <w:t>急救药箱和药物清单</w:t>
      </w:r>
    </w:p>
    <w:p>
      <w:pPr>
        <w:adjustRightInd w:val="0"/>
        <w:spacing w:line="580" w:lineRule="exact"/>
        <w:ind w:left="838"/>
        <w:rPr>
          <w:rFonts w:ascii="仿宋" w:hAnsi="仿宋" w:eastAsia="仿宋" w:cs="仿宋"/>
          <w:sz w:val="30"/>
          <w:szCs w:val="30"/>
        </w:rPr>
      </w:pPr>
      <w:r>
        <w:rPr>
          <w:rFonts w:hint="eastAsia" w:ascii="仿宋" w:hAnsi="仿宋" w:eastAsia="仿宋" w:cs="仿宋"/>
          <w:sz w:val="30"/>
          <w:szCs w:val="30"/>
        </w:rPr>
        <w:t>10.应急救援常见用品清单</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二、考核办法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自评</w:t>
      </w:r>
      <w:r>
        <w:rPr>
          <w:rFonts w:hint="eastAsia" w:ascii="仿宋_GB2312" w:hAnsi="仿宋_GB2312" w:eastAsia="仿宋_GB2312" w:cs="仿宋_GB2312"/>
          <w:sz w:val="32"/>
          <w:szCs w:val="32"/>
        </w:rPr>
        <w:t>：被帮扶企业和帮扶机构共同完成相应工作目标后，需对帮扶成效进行综合自评，填写《成都市中小微型企业帮扶效果评估表》，自评达到85分及以上的，应将帮扶工作材料报送属地区（市）县卫健部门，提请组织评估验收。</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县</w:t>
      </w:r>
      <w:r>
        <w:rPr>
          <w:rFonts w:hint="eastAsia" w:ascii="仿宋_GB2312" w:hAnsi="仿宋_GB2312" w:eastAsia="仿宋_GB2312" w:cs="仿宋_GB2312"/>
          <w:sz w:val="32"/>
          <w:szCs w:val="32"/>
        </w:rPr>
        <w:t>评估</w:t>
      </w:r>
      <w:r>
        <w:rPr>
          <w:rFonts w:ascii="仿宋_GB2312" w:hAnsi="仿宋_GB2312" w:eastAsia="仿宋_GB2312" w:cs="仿宋_GB2312"/>
          <w:sz w:val="32"/>
          <w:szCs w:val="32"/>
        </w:rPr>
        <w:t>验收</w:t>
      </w:r>
      <w:r>
        <w:rPr>
          <w:rFonts w:hint="eastAsia" w:ascii="仿宋_GB2312" w:hAnsi="仿宋_GB2312" w:eastAsia="仿宋_GB2312" w:cs="仿宋_GB2312"/>
          <w:sz w:val="32"/>
          <w:szCs w:val="32"/>
        </w:rPr>
        <w:t>：区（市）县卫健部门执行“一企一评”，组织专家采取资料审核和现场查看的方式开展评估验收；验收未通过的应及时将问题反馈企业和帮扶机构，责令限期整改落实。</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帮扶工作存档资料清单如下：</w:t>
      </w:r>
    </w:p>
    <w:p>
      <w:pPr>
        <w:numPr>
          <w:ilvl w:val="0"/>
          <w:numId w:val="7"/>
        </w:num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《成都市中小微型企业帮扶现场调查记录表》；</w:t>
      </w:r>
    </w:p>
    <w:p>
      <w:pPr>
        <w:numPr>
          <w:ilvl w:val="0"/>
          <w:numId w:val="7"/>
        </w:numPr>
        <w:spacing w:line="580" w:lineRule="exact"/>
        <w:ind w:firstLine="608"/>
        <w:rPr>
          <w:rFonts w:ascii="仿宋_GB2312" w:hAnsi="仿宋_GB2312" w:eastAsia="仿宋_GB2312" w:cs="仿宋_GB2312"/>
          <w:sz w:val="32"/>
          <w:szCs w:val="32"/>
        </w:rPr>
      </w:pPr>
      <w:r>
        <w:rPr>
          <w:rFonts w:hint="eastAsia" w:ascii="仿宋_GB2312" w:hAnsi="仿宋_GB2312" w:eastAsia="仿宋_GB2312" w:cs="仿宋_GB2312"/>
          <w:sz w:val="32"/>
          <w:szCs w:val="32"/>
        </w:rPr>
        <w:t>《成都市中小微型企业职业健康技术帮扶记录表》；</w:t>
      </w:r>
    </w:p>
    <w:p>
      <w:pPr>
        <w:numPr>
          <w:ilvl w:val="0"/>
          <w:numId w:val="7"/>
        </w:num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《成都市中小微型企业职业健康技术帮扶方案》；</w:t>
      </w:r>
    </w:p>
    <w:p>
      <w:pPr>
        <w:numPr>
          <w:ilvl w:val="0"/>
          <w:numId w:val="7"/>
        </w:num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《成都市中小微型企业现场指导记录表》；</w:t>
      </w:r>
    </w:p>
    <w:p>
      <w:pPr>
        <w:numPr>
          <w:ilvl w:val="0"/>
          <w:numId w:val="7"/>
        </w:num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《成都市中小微型企业帮扶效果评估表》；</w:t>
      </w:r>
    </w:p>
    <w:p>
      <w:pPr>
        <w:numPr>
          <w:ilvl w:val="0"/>
          <w:numId w:val="7"/>
        </w:num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《成都市中小微型企业帮扶工作满意度调查表》；</w:t>
      </w:r>
    </w:p>
    <w:p>
      <w:pPr>
        <w:numPr>
          <w:ilvl w:val="0"/>
          <w:numId w:val="7"/>
        </w:num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支撑材料：包括帮扶成果、过程记录、影像佐证等，并形成电子文档。</w:t>
      </w: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p>
      <w:pPr>
        <w:spacing w:line="560" w:lineRule="exact"/>
        <w:rPr>
          <w:rFonts w:ascii="Times New Roman" w:hAnsi="Times New Roman" w:eastAsia="黑体" w:cs="Times New Roman"/>
          <w:b/>
          <w:bCs/>
          <w:sz w:val="28"/>
          <w:szCs w:val="28"/>
        </w:rPr>
      </w:pPr>
    </w:p>
    <w:bookmarkEnd w:id="0"/>
    <w:p>
      <w:pPr>
        <w:spacing w:line="560" w:lineRule="exact"/>
        <w:rPr>
          <w:rFonts w:hint="eastAsia" w:ascii="方正公文小标宋" w:hAnsi="方正公文小标宋" w:eastAsia="方正公文小标宋" w:cs="方正公文小标宋"/>
          <w:b w:val="0"/>
          <w:bCs w:val="0"/>
          <w:sz w:val="32"/>
          <w:szCs w:val="32"/>
        </w:rPr>
      </w:pPr>
      <w:r>
        <w:rPr>
          <w:rFonts w:hint="eastAsia" w:ascii="方正公文小标宋" w:hAnsi="方正公文小标宋" w:eastAsia="方正公文小标宋" w:cs="方正公文小标宋"/>
          <w:b w:val="0"/>
          <w:bCs w:val="0"/>
          <w:sz w:val="32"/>
          <w:szCs w:val="32"/>
        </w:rPr>
        <w:t>附件3</w:t>
      </w: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成都市新津区</w:t>
      </w:r>
    </w:p>
    <w:p>
      <w:pPr>
        <w:spacing w:line="560" w:lineRule="exact"/>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sz w:val="44"/>
          <w:szCs w:val="44"/>
          <w:lang w:eastAsia="zh-CN"/>
        </w:rPr>
        <w:t>中小微型企业职业健康帮扶</w:t>
      </w:r>
      <w:r>
        <w:rPr>
          <w:rFonts w:ascii="Times New Roman" w:hAnsi="Times New Roman" w:eastAsia="方正小标宋简体" w:cs="Times New Roman"/>
          <w:sz w:val="44"/>
          <w:szCs w:val="44"/>
        </w:rPr>
        <w:t>项目申请书</w:t>
      </w:r>
    </w:p>
    <w:p>
      <w:pPr>
        <w:spacing w:line="560" w:lineRule="exact"/>
        <w:rPr>
          <w:rFonts w:ascii="Times New Roman" w:hAnsi="Times New Roman" w:eastAsia="方正小标宋简体" w:cs="Times New Roman"/>
          <w:bCs/>
          <w:sz w:val="44"/>
          <w:szCs w:val="44"/>
        </w:rPr>
      </w:pPr>
    </w:p>
    <w:tbl>
      <w:tblPr>
        <w:tblStyle w:val="3"/>
        <w:tblpPr w:leftFromText="180" w:rightFromText="180" w:vertAnchor="text" w:horzAnchor="page" w:tblpX="1577" w:tblpY="218"/>
        <w:tblOverlap w:val="never"/>
        <w:tblW w:w="8811"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59"/>
        <w:gridCol w:w="65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exact"/>
        </w:trPr>
        <w:tc>
          <w:tcPr>
            <w:tcW w:w="2259" w:type="dxa"/>
            <w:tcBorders>
              <w:top w:val="single" w:color="000000" w:sz="4" w:space="0"/>
              <w:bottom w:val="single" w:color="000000" w:sz="4" w:space="0"/>
              <w:right w:val="nil"/>
            </w:tcBorders>
            <w:vAlign w:val="center"/>
          </w:tcPr>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申请项目名称</w:t>
            </w:r>
          </w:p>
        </w:tc>
        <w:tc>
          <w:tcPr>
            <w:tcW w:w="6552" w:type="dxa"/>
            <w:tcBorders>
              <w:top w:val="single" w:color="000000" w:sz="4" w:space="0"/>
              <w:left w:val="nil"/>
              <w:bottom w:val="single" w:color="000000" w:sz="4" w:space="0"/>
            </w:tcBorders>
            <w:vAlign w:val="center"/>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（项目名称为申报单位名称+项目内容概述）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exact"/>
        </w:trPr>
        <w:tc>
          <w:tcPr>
            <w:tcW w:w="2259" w:type="dxa"/>
            <w:tcBorders>
              <w:top w:val="single" w:color="000000" w:sz="4" w:space="0"/>
              <w:bottom w:val="single" w:color="000000" w:sz="4" w:space="0"/>
              <w:right w:val="nil"/>
            </w:tcBorders>
            <w:vAlign w:val="center"/>
          </w:tcPr>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申请经费金额</w:t>
            </w:r>
          </w:p>
        </w:tc>
        <w:tc>
          <w:tcPr>
            <w:tcW w:w="6552" w:type="dxa"/>
            <w:tcBorders>
              <w:top w:val="single" w:color="000000" w:sz="4" w:space="0"/>
              <w:left w:val="nil"/>
              <w:bottom w:val="single" w:color="000000" w:sz="4" w:space="0"/>
            </w:tcBorders>
            <w:vAlign w:val="center"/>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人民币（大写）       元（￥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47" w:hRule="exact"/>
        </w:trPr>
        <w:tc>
          <w:tcPr>
            <w:tcW w:w="2259" w:type="dxa"/>
            <w:tcBorders>
              <w:top w:val="single" w:color="000000" w:sz="4" w:space="0"/>
              <w:bottom w:val="single" w:color="000000" w:sz="4" w:space="0"/>
              <w:right w:val="nil"/>
            </w:tcBorders>
            <w:vAlign w:val="center"/>
          </w:tcPr>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申请机构名称</w:t>
            </w:r>
          </w:p>
        </w:tc>
        <w:tc>
          <w:tcPr>
            <w:tcW w:w="6552" w:type="dxa"/>
            <w:tcBorders>
              <w:top w:val="single" w:color="000000" w:sz="4" w:space="0"/>
              <w:left w:val="nil"/>
              <w:bottom w:val="single" w:color="000000" w:sz="4" w:space="0"/>
            </w:tcBorders>
            <w:vAlign w:val="center"/>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请填写申请机构全称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17" w:hRule="exact"/>
        </w:trPr>
        <w:tc>
          <w:tcPr>
            <w:tcW w:w="2259" w:type="dxa"/>
            <w:tcBorders>
              <w:top w:val="single" w:color="000000" w:sz="4" w:space="0"/>
              <w:bottom w:val="single" w:color="000000" w:sz="4" w:space="0"/>
              <w:right w:val="nil"/>
            </w:tcBorders>
            <w:vAlign w:val="center"/>
          </w:tcPr>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申请机构类别</w:t>
            </w:r>
          </w:p>
        </w:tc>
        <w:tc>
          <w:tcPr>
            <w:tcW w:w="6552" w:type="dxa"/>
            <w:tcBorders>
              <w:top w:val="single" w:color="000000" w:sz="4" w:space="0"/>
              <w:left w:val="nil"/>
              <w:bottom w:val="single" w:color="000000" w:sz="4" w:space="0"/>
            </w:tcBorders>
            <w:vAlign w:val="center"/>
          </w:tcPr>
          <w:p>
            <w:pPr>
              <w:tabs>
                <w:tab w:val="left" w:pos="2302"/>
              </w:tabs>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请在选项后打“√”</w:t>
            </w:r>
          </w:p>
          <w:p>
            <w:pPr>
              <w:tabs>
                <w:tab w:val="left" w:pos="2302"/>
              </w:tabs>
              <w:spacing w:line="56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sym w:font="Wingdings 2" w:char="00A3"/>
            </w:r>
            <w:r>
              <w:rPr>
                <w:rFonts w:ascii="Times New Roman" w:hAnsi="Times New Roman" w:eastAsia="仿宋_GB2312" w:cs="Times New Roman"/>
                <w:sz w:val="32"/>
                <w:szCs w:val="32"/>
              </w:rPr>
              <w:t>民政登记的社会组织</w:t>
            </w:r>
          </w:p>
          <w:p>
            <w:pPr>
              <w:tabs>
                <w:tab w:val="left" w:pos="2302"/>
              </w:tabs>
              <w:spacing w:line="56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sym w:font="Wingdings 2" w:char="00A3"/>
            </w:r>
            <w:r>
              <w:rPr>
                <w:rFonts w:ascii="Times New Roman" w:hAnsi="Times New Roman" w:eastAsia="仿宋_GB2312" w:cs="Times New Roman"/>
                <w:sz w:val="32"/>
                <w:szCs w:val="32"/>
              </w:rPr>
              <w:t>工商注册的社会组织</w:t>
            </w:r>
          </w:p>
          <w:p>
            <w:pPr>
              <w:tabs>
                <w:tab w:val="left" w:pos="2302"/>
              </w:tabs>
              <w:spacing w:line="560" w:lineRule="exact"/>
              <w:rPr>
                <w:rFonts w:ascii="Times New Roman" w:hAnsi="Times New Roman" w:eastAsia="方正仿宋简体" w:cs="Times New Roman"/>
                <w:b/>
                <w:sz w:val="32"/>
                <w:szCs w:val="32"/>
              </w:rPr>
            </w:pPr>
            <w:r>
              <w:rPr>
                <w:rFonts w:ascii="Times New Roman" w:hAnsi="Times New Roman" w:eastAsia="仿宋_GB2312" w:cs="Times New Roman"/>
                <w:kern w:val="0"/>
                <w:sz w:val="32"/>
                <w:szCs w:val="32"/>
              </w:rPr>
              <w:sym w:font="Wingdings 2" w:char="00A3"/>
            </w:r>
            <w:r>
              <w:rPr>
                <w:rFonts w:ascii="Times New Roman" w:hAnsi="Times New Roman" w:eastAsia="仿宋_GB2312" w:cs="Times New Roman"/>
                <w:sz w:val="32"/>
                <w:szCs w:val="32"/>
              </w:rPr>
              <w:t>工商注册的社会组织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2259" w:type="dxa"/>
            <w:tcBorders>
              <w:top w:val="single" w:color="000000" w:sz="4" w:space="0"/>
              <w:bottom w:val="single" w:color="000000" w:sz="4" w:space="0"/>
              <w:right w:val="nil"/>
            </w:tcBorders>
            <w:vAlign w:val="center"/>
          </w:tcPr>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申请机构地址</w:t>
            </w:r>
          </w:p>
        </w:tc>
        <w:tc>
          <w:tcPr>
            <w:tcW w:w="6552" w:type="dxa"/>
            <w:tcBorders>
              <w:top w:val="single" w:color="000000" w:sz="4" w:space="0"/>
              <w:left w:val="nil"/>
              <w:bottom w:val="single" w:color="000000" w:sz="4" w:space="0"/>
            </w:tcBorders>
            <w:vAlign w:val="center"/>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请具体填写申请机构电话、通信地址和邮编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2259" w:type="dxa"/>
            <w:tcBorders>
              <w:top w:val="single" w:color="000000" w:sz="4" w:space="0"/>
              <w:bottom w:val="single" w:color="000000" w:sz="4" w:space="0"/>
              <w:right w:val="nil"/>
            </w:tcBorders>
            <w:vAlign w:val="center"/>
          </w:tcPr>
          <w:p>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申请机构</w:t>
            </w:r>
          </w:p>
          <w:p>
            <w:pPr>
              <w:spacing w:line="560" w:lineRule="exact"/>
              <w:jc w:val="left"/>
              <w:rPr>
                <w:rFonts w:ascii="Times New Roman" w:hAnsi="Times New Roman" w:eastAsia="方正仿宋简体" w:cs="Times New Roman"/>
                <w:b/>
                <w:sz w:val="32"/>
                <w:szCs w:val="32"/>
              </w:rPr>
            </w:pPr>
            <w:r>
              <w:rPr>
                <w:rFonts w:ascii="Times New Roman" w:hAnsi="Times New Roman" w:eastAsia="黑体" w:cs="Times New Roman"/>
                <w:sz w:val="32"/>
                <w:szCs w:val="32"/>
              </w:rPr>
              <w:t>负责人签名</w:t>
            </w:r>
          </w:p>
        </w:tc>
        <w:tc>
          <w:tcPr>
            <w:tcW w:w="6552" w:type="dxa"/>
            <w:tcBorders>
              <w:top w:val="single" w:color="000000" w:sz="4" w:space="0"/>
              <w:left w:val="nil"/>
              <w:bottom w:val="single" w:color="000000" w:sz="4" w:space="0"/>
            </w:tcBorders>
            <w:vAlign w:val="center"/>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负责人姓名及签字，有公章的加盖公章</w:t>
            </w:r>
          </w:p>
        </w:tc>
      </w:tr>
    </w:tbl>
    <w:p>
      <w:pPr>
        <w:spacing w:line="560" w:lineRule="exact"/>
        <w:ind w:firstLine="723" w:firstLineChars="200"/>
        <w:rPr>
          <w:rFonts w:ascii="Times New Roman" w:hAnsi="Times New Roman" w:eastAsia="宋体" w:cs="Times New Roman"/>
          <w:b/>
          <w:bCs/>
          <w:sz w:val="36"/>
          <w:szCs w:val="36"/>
        </w:rPr>
      </w:pPr>
    </w:p>
    <w:p>
      <w:pPr>
        <w:spacing w:line="560" w:lineRule="exact"/>
        <w:rPr>
          <w:rFonts w:ascii="Times New Roman" w:hAnsi="Times New Roman" w:eastAsia="仿宋_GB2312" w:cs="Times New Roman"/>
          <w:b/>
          <w:sz w:val="28"/>
          <w:szCs w:val="28"/>
        </w:rPr>
      </w:pPr>
      <w:r>
        <w:rPr>
          <w:rFonts w:ascii="Times New Roman" w:hAnsi="Times New Roman" w:eastAsia="仿宋_GB2312" w:cs="Times New Roman"/>
          <w:b/>
          <w:sz w:val="28"/>
          <w:szCs w:val="28"/>
        </w:rPr>
        <w:t xml:space="preserve">                                   填报日期：    年  月  日</w:t>
      </w:r>
    </w:p>
    <w:p>
      <w:pPr>
        <w:spacing w:line="560" w:lineRule="exact"/>
        <w:rPr>
          <w:rFonts w:ascii="Times New Roman" w:hAnsi="Times New Roman" w:eastAsia="宋体" w:cs="Times New Roman"/>
          <w:sz w:val="24"/>
          <w:szCs w:val="24"/>
        </w:rPr>
      </w:pPr>
      <w:r>
        <w:rPr>
          <w:rFonts w:ascii="Times New Roman" w:hAnsi="Times New Roman" w:eastAsia="仿宋_GB2312" w:cs="Times New Roman"/>
          <w:b/>
          <w:sz w:val="24"/>
        </w:rPr>
        <w:br w:type="page"/>
      </w:r>
      <w:r>
        <w:rPr>
          <w:rFonts w:ascii="Times New Roman" w:hAnsi="Times New Roman" w:eastAsia="宋体" w:cs="Times New Roman"/>
          <w:sz w:val="24"/>
          <w:szCs w:val="24"/>
        </w:rPr>
        <w:t>1.申请书基本信息</w:t>
      </w:r>
    </w:p>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1.1申请项目名称</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（必须与封面的项目名称保持一致）</w:t>
            </w: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1.2项目实施时间 </w:t>
      </w:r>
    </w:p>
    <w:tbl>
      <w:tblPr>
        <w:tblStyle w:val="3"/>
        <w:tblW w:w="85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75"/>
        <w:gridCol w:w="4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475"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项目计划开始时间（年/月）</w:t>
            </w:r>
          </w:p>
        </w:tc>
        <w:tc>
          <w:tcPr>
            <w:tcW w:w="4031"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项目计划结束时间（年/月）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475"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****年**月</w:t>
            </w:r>
          </w:p>
        </w:tc>
        <w:tc>
          <w:tcPr>
            <w:tcW w:w="4031"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****年**月</w:t>
            </w: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1.3项目实施地区</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成都市新津区</w:t>
            </w:r>
          </w:p>
        </w:tc>
      </w:tr>
    </w:tbl>
    <w:p>
      <w:pPr>
        <w:spacing w:line="560" w:lineRule="exact"/>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1.4项目目标</w:t>
      </w:r>
      <w:r>
        <w:rPr>
          <w:rFonts w:hint="eastAsia" w:ascii="Times New Roman" w:hAnsi="Times New Roman" w:eastAsia="宋体" w:cs="Times New Roman"/>
          <w:sz w:val="24"/>
          <w:szCs w:val="24"/>
          <w:lang w:val="en-US" w:eastAsia="zh-CN"/>
        </w:rPr>
        <w:t>企业</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20家</w:t>
            </w: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1.5申请机构项目组主要成员</w:t>
      </w:r>
    </w:p>
    <w:tbl>
      <w:tblPr>
        <w:tblStyle w:val="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68"/>
        <w:gridCol w:w="1639"/>
        <w:gridCol w:w="1417"/>
        <w:gridCol w:w="151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13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16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专职/兼职/志愿者</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联系电话</w:t>
            </w:r>
          </w:p>
        </w:tc>
        <w:tc>
          <w:tcPr>
            <w:tcW w:w="15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项目分工</w:t>
            </w:r>
          </w:p>
        </w:tc>
        <w:tc>
          <w:tcPr>
            <w:tcW w:w="174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3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请选择一种</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本项目中承担的工作</w:t>
            </w:r>
          </w:p>
        </w:tc>
        <w:tc>
          <w:tcPr>
            <w:tcW w:w="174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3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747"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3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747"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3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747"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5"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（表格可自行添加）</w:t>
            </w: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1.6项目申请书摘要</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spacing w:before="80" w:line="560" w:lineRule="exact"/>
              <w:ind w:left="105" w:leftChars="50"/>
              <w:rPr>
                <w:rFonts w:ascii="Times New Roman" w:hAnsi="Times New Roman" w:eastAsia="宋体" w:cs="Times New Roman"/>
                <w:i/>
                <w:sz w:val="24"/>
                <w:szCs w:val="24"/>
              </w:rPr>
            </w:pPr>
            <w:r>
              <w:rPr>
                <w:rFonts w:ascii="Times New Roman" w:hAnsi="Times New Roman" w:eastAsia="宋体" w:cs="Times New Roman"/>
                <w:bCs/>
                <w:i/>
                <w:sz w:val="24"/>
                <w:szCs w:val="24"/>
                <w:lang w:val="en-GB"/>
              </w:rPr>
              <w:t>项目申请书摘要（主要内容包括：背景、目的、执行时间、执行地点、主要活动、指标。300字以内）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5" w:hRule="atLeast"/>
        </w:trPr>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tc>
      </w:tr>
    </w:tbl>
    <w:p>
      <w:pPr>
        <w:widowControl/>
        <w:numPr>
          <w:ilvl w:val="0"/>
          <w:numId w:val="8"/>
        </w:numPr>
        <w:adjustRightInd w:val="0"/>
        <w:spacing w:after="200" w:line="560" w:lineRule="exact"/>
        <w:rPr>
          <w:rFonts w:ascii="Times New Roman" w:hAnsi="Times New Roman" w:eastAsia="宋体" w:cs="Times New Roman"/>
          <w:sz w:val="24"/>
          <w:szCs w:val="24"/>
        </w:rPr>
      </w:pPr>
      <w:r>
        <w:rPr>
          <w:rFonts w:ascii="Times New Roman" w:hAnsi="Times New Roman" w:eastAsia="宋体" w:cs="Times New Roman"/>
          <w:sz w:val="24"/>
          <w:szCs w:val="24"/>
        </w:rPr>
        <w:t>项目申请书详细内容</w:t>
      </w:r>
    </w:p>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2.1背景分析</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tabs>
                <w:tab w:val="left" w:pos="2016"/>
              </w:tabs>
              <w:spacing w:line="560" w:lineRule="exact"/>
              <w:rPr>
                <w:rFonts w:ascii="Times New Roman" w:hAnsi="Times New Roman" w:eastAsia="宋体" w:cs="Times New Roman"/>
                <w:i/>
                <w:sz w:val="24"/>
                <w:szCs w:val="24"/>
                <w:lang w:val="en-GB"/>
              </w:rPr>
            </w:pPr>
            <w:r>
              <w:rPr>
                <w:rFonts w:ascii="Times New Roman" w:hAnsi="Times New Roman" w:eastAsia="宋体" w:cs="Times New Roman"/>
                <w:bCs/>
                <w:i/>
                <w:sz w:val="24"/>
                <w:szCs w:val="24"/>
                <w:lang w:val="en-GB"/>
              </w:rPr>
              <w:t>背景与意义（300-800字）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2.2项目目标</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6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项目目标</w:t>
            </w:r>
          </w:p>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（不超过4个）</w:t>
            </w:r>
          </w:p>
        </w:tc>
        <w:tc>
          <w:tcPr>
            <w:tcW w:w="6571"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2.3项目时间进度表（****年**月-****年**月）</w:t>
      </w:r>
    </w:p>
    <w:tbl>
      <w:tblPr>
        <w:tblStyle w:val="3"/>
        <w:tblW w:w="8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3"/>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3" w:type="dxa"/>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时间</w:t>
            </w:r>
          </w:p>
        </w:tc>
        <w:tc>
          <w:tcPr>
            <w:tcW w:w="6315" w:type="dxa"/>
            <w:tcBorders>
              <w:top w:val="single" w:color="000000" w:sz="4" w:space="0"/>
              <w:left w:val="single" w:color="000000" w:sz="4" w:space="0"/>
              <w:bottom w:val="single" w:color="000000" w:sz="4" w:space="0"/>
              <w:right w:val="single" w:color="000000" w:sz="4" w:space="0"/>
            </w:tcBorders>
          </w:tcPr>
          <w:p>
            <w:pPr>
              <w:spacing w:line="56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进度安排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3" w:type="dxa"/>
            <w:tcBorders>
              <w:top w:val="single" w:color="000000" w:sz="4" w:space="0"/>
              <w:left w:val="single" w:color="000000" w:sz="4" w:space="0"/>
              <w:bottom w:val="single" w:color="000000" w:sz="4" w:space="0"/>
              <w:right w:val="single" w:color="000000" w:sz="4" w:space="0"/>
            </w:tcBorders>
          </w:tcPr>
          <w:p>
            <w:pPr>
              <w:spacing w:line="56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2024年7月</w:t>
            </w:r>
          </w:p>
        </w:tc>
        <w:tc>
          <w:tcPr>
            <w:tcW w:w="6315"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3" w:type="dxa"/>
            <w:tcBorders>
              <w:top w:val="single" w:color="000000" w:sz="4" w:space="0"/>
              <w:left w:val="single" w:color="000000" w:sz="4" w:space="0"/>
              <w:bottom w:val="single" w:color="000000" w:sz="4" w:space="0"/>
              <w:right w:val="single" w:color="000000" w:sz="4" w:space="0"/>
            </w:tcBorders>
          </w:tcPr>
          <w:p>
            <w:pPr>
              <w:spacing w:line="56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2024年8月</w:t>
            </w:r>
          </w:p>
        </w:tc>
        <w:tc>
          <w:tcPr>
            <w:tcW w:w="6315"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3" w:type="dxa"/>
            <w:tcBorders>
              <w:top w:val="single" w:color="000000" w:sz="4" w:space="0"/>
              <w:left w:val="single" w:color="000000" w:sz="4" w:space="0"/>
              <w:bottom w:val="single" w:color="000000" w:sz="4" w:space="0"/>
              <w:right w:val="single" w:color="000000" w:sz="4" w:space="0"/>
            </w:tcBorders>
          </w:tcPr>
          <w:p>
            <w:pPr>
              <w:spacing w:line="56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2024年9月</w:t>
            </w:r>
          </w:p>
        </w:tc>
        <w:tc>
          <w:tcPr>
            <w:tcW w:w="6315"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项目质量控制</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i/>
                <w:sz w:val="24"/>
                <w:szCs w:val="24"/>
              </w:rPr>
            </w:pPr>
            <w:r>
              <w:rPr>
                <w:rFonts w:ascii="Times New Roman" w:hAnsi="Times New Roman" w:eastAsia="宋体" w:cs="Times New Roman"/>
                <w:i/>
                <w:sz w:val="24"/>
                <w:szCs w:val="24"/>
              </w:rPr>
              <w:t>请说明在项目实施过程中如何进行自我检查和评估，如何进行质量控制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项目风险分析</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i/>
                <w:sz w:val="24"/>
                <w:szCs w:val="24"/>
              </w:rPr>
            </w:pPr>
            <w:r>
              <w:rPr>
                <w:rFonts w:ascii="Times New Roman" w:hAnsi="Times New Roman" w:eastAsia="宋体" w:cs="Times New Roman"/>
                <w:i/>
                <w:sz w:val="24"/>
                <w:szCs w:val="24"/>
              </w:rPr>
              <w:t>项目风险分析（项目执行过程中可能存在哪些风险，避免和解决风险的有效措施）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项目预算(活动经费列支明细）</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96"/>
        <w:gridCol w:w="1655"/>
        <w:gridCol w:w="1418"/>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序号</w:t>
            </w:r>
          </w:p>
        </w:tc>
        <w:tc>
          <w:tcPr>
            <w:tcW w:w="2396"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活动名称</w:t>
            </w:r>
          </w:p>
        </w:tc>
        <w:tc>
          <w:tcPr>
            <w:tcW w:w="5391"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vMerge w:val="continue"/>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2396"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支出类别</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单价</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数量</w:t>
            </w:r>
          </w:p>
        </w:tc>
        <w:tc>
          <w:tcPr>
            <w:tcW w:w="13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165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132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165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132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165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132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165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c>
          <w:tcPr>
            <w:tcW w:w="132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c>
          <w:tcPr>
            <w:tcW w:w="241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合计（元）</w:t>
            </w:r>
          </w:p>
        </w:tc>
        <w:tc>
          <w:tcPr>
            <w:tcW w:w="1326"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宋体" w:cs="Times New Roman"/>
                <w:sz w:val="24"/>
                <w:szCs w:val="24"/>
              </w:rPr>
            </w:pPr>
          </w:p>
        </w:tc>
      </w:tr>
    </w:tbl>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（备注：支出类别详见《申请指南》附件1）</w:t>
      </w:r>
    </w:p>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3.申请机构承诺书</w:t>
      </w:r>
    </w:p>
    <w:p>
      <w:pPr>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我单位保证项目申报材料真实、合法、有效。如果获得支持，我们将严格遵守</w:t>
      </w:r>
      <w:r>
        <w:rPr>
          <w:rFonts w:hint="eastAsia" w:ascii="Times New Roman" w:hAnsi="Times New Roman" w:eastAsia="宋体" w:cs="Times New Roman"/>
          <w:bCs/>
          <w:sz w:val="24"/>
          <w:szCs w:val="24"/>
          <w:lang w:eastAsia="zh-CN"/>
        </w:rPr>
        <w:t>中小微型企业职业健康帮扶</w:t>
      </w:r>
      <w:r>
        <w:rPr>
          <w:rFonts w:ascii="Times New Roman" w:hAnsi="Times New Roman" w:eastAsia="宋体" w:cs="Times New Roman"/>
          <w:bCs/>
          <w:sz w:val="24"/>
          <w:szCs w:val="24"/>
        </w:rPr>
        <w:t>基金项目支持的有关规定，制定项目实施计划，切实保证项目工作时间，按计划认真开展项目工作，按时报送有关材料，接受项目监管、审计和评估。我单位对后期实施项目过程中所出现的问题承担责任。</w:t>
      </w:r>
    </w:p>
    <w:p>
      <w:pPr>
        <w:spacing w:line="560" w:lineRule="exact"/>
        <w:ind w:firstLine="2880" w:firstLineChars="1200"/>
        <w:rPr>
          <w:rFonts w:ascii="Times New Roman" w:hAnsi="Times New Roman" w:eastAsia="宋体" w:cs="Times New Roman"/>
          <w:sz w:val="24"/>
          <w:szCs w:val="24"/>
        </w:rPr>
      </w:pPr>
    </w:p>
    <w:p>
      <w:pPr>
        <w:spacing w:line="560" w:lineRule="exact"/>
        <w:ind w:firstLine="3120" w:firstLineChars="1300"/>
        <w:rPr>
          <w:rFonts w:ascii="Times New Roman" w:hAnsi="Times New Roman" w:eastAsia="宋体" w:cs="Times New Roman"/>
          <w:bCs/>
          <w:sz w:val="24"/>
          <w:szCs w:val="24"/>
        </w:rPr>
      </w:pPr>
      <w:r>
        <w:rPr>
          <w:rFonts w:ascii="Times New Roman" w:hAnsi="Times New Roman" w:eastAsia="宋体" w:cs="Times New Roman"/>
          <w:sz w:val="24"/>
          <w:szCs w:val="24"/>
        </w:rPr>
        <w:t>法定代表人或委托代表签字</w:t>
      </w:r>
      <w:r>
        <w:rPr>
          <w:rFonts w:ascii="Times New Roman" w:hAnsi="Times New Roman" w:eastAsia="宋体" w:cs="Times New Roman"/>
          <w:bCs/>
          <w:sz w:val="24"/>
          <w:szCs w:val="24"/>
        </w:rPr>
        <w:t>（单位盖章）：</w:t>
      </w:r>
    </w:p>
    <w:p>
      <w:pPr>
        <w:spacing w:line="560" w:lineRule="exact"/>
        <w:ind w:firstLine="5760" w:firstLineChars="2400"/>
        <w:rPr>
          <w:rFonts w:ascii="Times New Roman" w:hAnsi="Times New Roman" w:eastAsia="方正仿宋简体" w:cs="Times New Roman"/>
          <w:sz w:val="32"/>
          <w:szCs w:val="32"/>
        </w:rPr>
      </w:pPr>
      <w:r>
        <w:rPr>
          <w:rFonts w:ascii="Times New Roman" w:hAnsi="Times New Roman" w:eastAsia="宋体" w:cs="Times New Roman"/>
          <w:sz w:val="24"/>
          <w:szCs w:val="24"/>
        </w:rPr>
        <w:t>年  月  日</w:t>
      </w:r>
    </w:p>
    <w:p>
      <w:pPr>
        <w:spacing w:line="560" w:lineRule="exact"/>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C8FD0D-3567-4BA4-BDD7-2F68409AA2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BA958C1-FE9B-4173-AED1-90774826E0CE}"/>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CD6193A6-0A98-407A-ADD4-FFC408C8A3A7}"/>
  </w:font>
  <w:font w:name="仿宋_GB2312">
    <w:panose1 w:val="02010609030101010101"/>
    <w:charset w:val="86"/>
    <w:family w:val="modern"/>
    <w:pitch w:val="default"/>
    <w:sig w:usb0="00000001" w:usb1="080E0000" w:usb2="00000000" w:usb3="00000000" w:csb0="00040000" w:csb1="00000000"/>
    <w:embedRegular r:id="rId4" w:fontKey="{E1CDD25F-820F-4BBD-94C9-A1F4D378C091}"/>
  </w:font>
  <w:font w:name="楷体_GB2312">
    <w:panose1 w:val="02010609030101010101"/>
    <w:charset w:val="86"/>
    <w:family w:val="modern"/>
    <w:pitch w:val="default"/>
    <w:sig w:usb0="00000001" w:usb1="080E0000" w:usb2="00000000" w:usb3="00000000" w:csb0="00040000" w:csb1="00000000"/>
    <w:embedRegular r:id="rId5" w:fontKey="{C10272FB-8F22-40E3-99A4-9A964B54C65D}"/>
  </w:font>
  <w:font w:name="方正公文小标宋">
    <w:panose1 w:val="02000500000000000000"/>
    <w:charset w:val="86"/>
    <w:family w:val="auto"/>
    <w:pitch w:val="default"/>
    <w:sig w:usb0="A00002BF" w:usb1="38CF7CFA" w:usb2="00000016" w:usb3="00000000" w:csb0="00040001" w:csb1="00000000"/>
    <w:embedRegular r:id="rId6" w:fontKey="{DA48F326-9EF2-4248-AB50-F96B2CC3BBA5}"/>
  </w:font>
  <w:font w:name="方正仿宋简体">
    <w:panose1 w:val="02000000000000000000"/>
    <w:charset w:val="86"/>
    <w:family w:val="auto"/>
    <w:pitch w:val="default"/>
    <w:sig w:usb0="A00002BF" w:usb1="184F6CFA" w:usb2="00000012" w:usb3="00000000" w:csb0="00040001" w:csb1="00000000"/>
    <w:embedRegular r:id="rId7" w:fontKey="{81ADBAD0-AB48-452A-BE65-E461F9467178}"/>
  </w:font>
  <w:font w:name="楷体">
    <w:panose1 w:val="02010609060101010101"/>
    <w:charset w:val="86"/>
    <w:family w:val="auto"/>
    <w:pitch w:val="default"/>
    <w:sig w:usb0="800002BF" w:usb1="38CF7CFA" w:usb2="00000016" w:usb3="00000000" w:csb0="00040001" w:csb1="00000000"/>
    <w:embedRegular r:id="rId8" w:fontKey="{EBF7FD87-CF88-4D52-80B5-91E292C4A4CE}"/>
  </w:font>
  <w:font w:name="Wingdings 2">
    <w:panose1 w:val="05020102010507070707"/>
    <w:charset w:val="02"/>
    <w:family w:val="roman"/>
    <w:pitch w:val="default"/>
    <w:sig w:usb0="00000000" w:usb1="00000000" w:usb2="00000000" w:usb3="00000000" w:csb0="80000000" w:csb1="00000000"/>
    <w:embedRegular r:id="rId9" w:fontKey="{E00C1AA4-AB4B-4F61-91F8-D1E9472D60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37422"/>
    <w:multiLevelType w:val="singleLevel"/>
    <w:tmpl w:val="BDA37422"/>
    <w:lvl w:ilvl="0" w:tentative="0">
      <w:start w:val="1"/>
      <w:numFmt w:val="decimal"/>
      <w:suff w:val="nothing"/>
      <w:lvlText w:val="（%1）"/>
      <w:lvlJc w:val="left"/>
    </w:lvl>
  </w:abstractNum>
  <w:abstractNum w:abstractNumId="1">
    <w:nsid w:val="D84D1A88"/>
    <w:multiLevelType w:val="singleLevel"/>
    <w:tmpl w:val="D84D1A88"/>
    <w:lvl w:ilvl="0" w:tentative="0">
      <w:start w:val="2"/>
      <w:numFmt w:val="decimal"/>
      <w:suff w:val="nothing"/>
      <w:lvlText w:val="（%1）"/>
      <w:lvlJc w:val="left"/>
    </w:lvl>
  </w:abstractNum>
  <w:abstractNum w:abstractNumId="2">
    <w:nsid w:val="02332E64"/>
    <w:multiLevelType w:val="singleLevel"/>
    <w:tmpl w:val="02332E64"/>
    <w:lvl w:ilvl="0" w:tentative="0">
      <w:start w:val="2"/>
      <w:numFmt w:val="decimal"/>
      <w:lvlText w:val="%1."/>
      <w:lvlJc w:val="left"/>
      <w:pPr>
        <w:tabs>
          <w:tab w:val="left" w:pos="312"/>
        </w:tabs>
      </w:pPr>
    </w:lvl>
  </w:abstractNum>
  <w:abstractNum w:abstractNumId="3">
    <w:nsid w:val="29CAA817"/>
    <w:multiLevelType w:val="singleLevel"/>
    <w:tmpl w:val="29CAA817"/>
    <w:lvl w:ilvl="0" w:tentative="0">
      <w:start w:val="1"/>
      <w:numFmt w:val="decimal"/>
      <w:suff w:val="nothing"/>
      <w:lvlText w:val="（%1）"/>
      <w:lvlJc w:val="left"/>
    </w:lvl>
  </w:abstractNum>
  <w:abstractNum w:abstractNumId="4">
    <w:nsid w:val="67400B90"/>
    <w:multiLevelType w:val="singleLevel"/>
    <w:tmpl w:val="67400B90"/>
    <w:lvl w:ilvl="0" w:tentative="0">
      <w:start w:val="1"/>
      <w:numFmt w:val="decimal"/>
      <w:suff w:val="nothing"/>
      <w:lvlText w:val="（%1）"/>
      <w:lvlJc w:val="left"/>
      <w:pPr>
        <w:ind w:left="-10"/>
      </w:pPr>
    </w:lvl>
  </w:abstractNum>
  <w:abstractNum w:abstractNumId="5">
    <w:nsid w:val="75AC1539"/>
    <w:multiLevelType w:val="multilevel"/>
    <w:tmpl w:val="75AC1539"/>
    <w:lvl w:ilvl="0" w:tentative="0">
      <w:start w:val="1"/>
      <w:numFmt w:val="chineseCountingThousand"/>
      <w:lvlText w:val="%1、"/>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2 "/>
      <w:lvlJc w:val="left"/>
      <w:pPr>
        <w:ind w:left="0" w:firstLine="0"/>
      </w:pPr>
      <w:rPr>
        <w:rFonts w:hint="eastAsia"/>
      </w:rPr>
    </w:lvl>
    <w:lvl w:ilvl="2" w:tentative="0">
      <w:start w:val="1"/>
      <w:numFmt w:val="decimal"/>
      <w:lvlText w:val="%2.%3 "/>
      <w:lvlJc w:val="left"/>
      <w:pPr>
        <w:ind w:left="0" w:firstLine="0"/>
      </w:pPr>
      <w:rPr>
        <w:rFonts w:hint="eastAsia"/>
      </w:rPr>
    </w:lvl>
    <w:lvl w:ilvl="3" w:tentative="0">
      <w:start w:val="1"/>
      <w:numFmt w:val="decimal"/>
      <w:pStyle w:val="6"/>
      <w:lvlText w:val="%2.%3.%4 "/>
      <w:lvlJc w:val="left"/>
      <w:pPr>
        <w:ind w:left="1135" w:firstLine="0"/>
      </w:pPr>
      <w:rPr>
        <w:rFonts w:hint="eastAsia"/>
      </w:rPr>
    </w:lvl>
    <w:lvl w:ilvl="4" w:tentative="0">
      <w:start w:val="1"/>
      <w:numFmt w:val="decimal"/>
      <w:lvlText w:val="%2.%3.%4.%5 "/>
      <w:lvlJc w:val="left"/>
      <w:pPr>
        <w:ind w:left="0" w:firstLine="0"/>
      </w:pPr>
      <w:rPr>
        <w:rFonts w:hint="eastAsia"/>
      </w:rPr>
    </w:lvl>
    <w:lvl w:ilvl="5" w:tentative="0">
      <w:start w:val="1"/>
      <w:numFmt w:val="decimal"/>
      <w:lvlText w:val="%2.%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6" w:tentative="0">
      <w:start w:val="1"/>
      <w:numFmt w:val="decimal"/>
      <w:lvlText w:val="%2.%3.%4.%5.%6.%7 "/>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D10565B"/>
    <w:multiLevelType w:val="singleLevel"/>
    <w:tmpl w:val="7D10565B"/>
    <w:lvl w:ilvl="0" w:tentative="0">
      <w:start w:val="2"/>
      <w:numFmt w:val="decimal"/>
      <w:suff w:val="nothing"/>
      <w:lvlText w:val="（%1）"/>
      <w:lvlJc w:val="left"/>
    </w:lvl>
  </w:abstractNum>
  <w:abstractNum w:abstractNumId="7">
    <w:nsid w:val="7EBD8DC5"/>
    <w:multiLevelType w:val="singleLevel"/>
    <w:tmpl w:val="7EBD8DC5"/>
    <w:lvl w:ilvl="0" w:tentative="0">
      <w:start w:val="1"/>
      <w:numFmt w:val="decimal"/>
      <w:lvlText w:val="%1."/>
      <w:lvlJc w:val="left"/>
      <w:pPr>
        <w:tabs>
          <w:tab w:val="left" w:pos="312"/>
        </w:tabs>
        <w:ind w:left="238"/>
      </w:pPr>
    </w:lvl>
  </w:abstractNum>
  <w:num w:numId="1">
    <w:abstractNumId w:val="5"/>
  </w:num>
  <w:num w:numId="2">
    <w:abstractNumId w:val="3"/>
  </w:num>
  <w:num w:numId="3">
    <w:abstractNumId w:val="1"/>
  </w:num>
  <w:num w:numId="4">
    <w:abstractNumId w:val="6"/>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lZTk2ODZjZTVmNjFmNmQyMDU4OTgwMWZhNWNkZDUifQ=="/>
  </w:docVars>
  <w:rsids>
    <w:rsidRoot w:val="00AD2E3E"/>
    <w:rsid w:val="00046FA3"/>
    <w:rsid w:val="00060D40"/>
    <w:rsid w:val="001222E3"/>
    <w:rsid w:val="00135D9F"/>
    <w:rsid w:val="001610DD"/>
    <w:rsid w:val="00233DC1"/>
    <w:rsid w:val="003E0AEB"/>
    <w:rsid w:val="00453448"/>
    <w:rsid w:val="00464613"/>
    <w:rsid w:val="00627268"/>
    <w:rsid w:val="006A6472"/>
    <w:rsid w:val="006E4DF9"/>
    <w:rsid w:val="00826158"/>
    <w:rsid w:val="00845C49"/>
    <w:rsid w:val="008C009C"/>
    <w:rsid w:val="00966BA9"/>
    <w:rsid w:val="009D3E13"/>
    <w:rsid w:val="00A10D37"/>
    <w:rsid w:val="00A46C6A"/>
    <w:rsid w:val="00AB35D0"/>
    <w:rsid w:val="00AB5323"/>
    <w:rsid w:val="00AD2E3E"/>
    <w:rsid w:val="00BA0F6B"/>
    <w:rsid w:val="00BB7648"/>
    <w:rsid w:val="00C16ABC"/>
    <w:rsid w:val="00CC5AE8"/>
    <w:rsid w:val="00CF1666"/>
    <w:rsid w:val="00CF2568"/>
    <w:rsid w:val="00D97965"/>
    <w:rsid w:val="00DD4A42"/>
    <w:rsid w:val="00E54BD2"/>
    <w:rsid w:val="00EE6E58"/>
    <w:rsid w:val="03286C67"/>
    <w:rsid w:val="037D6C54"/>
    <w:rsid w:val="0CFD33F5"/>
    <w:rsid w:val="0D741810"/>
    <w:rsid w:val="10993435"/>
    <w:rsid w:val="14142F81"/>
    <w:rsid w:val="1AED2CFB"/>
    <w:rsid w:val="1B035A3C"/>
    <w:rsid w:val="1B4A3CA9"/>
    <w:rsid w:val="1D7B46E7"/>
    <w:rsid w:val="22ED59AE"/>
    <w:rsid w:val="231E069A"/>
    <w:rsid w:val="30DF2C8E"/>
    <w:rsid w:val="31070655"/>
    <w:rsid w:val="376A4325"/>
    <w:rsid w:val="44AE0AC2"/>
    <w:rsid w:val="49381104"/>
    <w:rsid w:val="50AD601E"/>
    <w:rsid w:val="51890380"/>
    <w:rsid w:val="51BF274A"/>
    <w:rsid w:val="58330558"/>
    <w:rsid w:val="6005151A"/>
    <w:rsid w:val="6AB04778"/>
    <w:rsid w:val="6E6005E7"/>
    <w:rsid w:val="6F114D0A"/>
    <w:rsid w:val="70626515"/>
    <w:rsid w:val="70C66AA3"/>
    <w:rsid w:val="750402CE"/>
    <w:rsid w:val="78ED59B9"/>
    <w:rsid w:val="79C16831"/>
    <w:rsid w:val="7DDA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6">
    <w:name w:val="Heading4"/>
    <w:basedOn w:val="1"/>
    <w:next w:val="1"/>
    <w:qFormat/>
    <w:uiPriority w:val="0"/>
    <w:pPr>
      <w:keepNext/>
      <w:keepLines/>
      <w:numPr>
        <w:ilvl w:val="3"/>
        <w:numId w:val="1"/>
      </w:numPr>
      <w:ind w:left="0"/>
      <w:jc w:val="both"/>
      <w:textAlignment w:val="baseline"/>
    </w:pPr>
    <w:rPr>
      <w:rFonts w:ascii="宋体" w:hAnsi="Cambria" w:cs="Times New Roman"/>
      <w:b/>
      <w:bCs/>
      <w:kern w:val="2"/>
      <w:sz w:val="32"/>
      <w:szCs w:val="32"/>
      <w:lang w:val="en-US" w:eastAsia="zh-CN" w:bidi="ar-SA"/>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7727</Words>
  <Characters>7902</Characters>
  <Lines>39</Lines>
  <Paragraphs>11</Paragraphs>
  <TotalTime>4</TotalTime>
  <ScaleCrop>false</ScaleCrop>
  <LinksUpToDate>false</LinksUpToDate>
  <CharactersWithSpaces>8036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2022-05-11T09:24:00Z</dcterms:created>
  <dc:creator>Administrator</dc:creator>
  <cp:lastModifiedBy>coconut</cp:lastModifiedBy>
  <cp:lastPrinted>2024-07-08T02:12:00Z</cp:lastPrinted>
  <dcterms:modified xsi:type="dcterms:W3CDTF">2024-07-08T02:43:11Z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477EDF9189A14D948D4B464E9F3EF9AA_13</vt:lpwstr>
  </property>
</Properties>
</file>