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E09F5">
      <w:pPr>
        <w:jc w:val="center"/>
        <w:rPr>
          <w:rFonts w:ascii="宋体" w:hAnsi="宋体" w:cs="宋体"/>
          <w:b/>
          <w:bCs/>
          <w:sz w:val="39"/>
          <w:szCs w:val="39"/>
        </w:rPr>
      </w:pPr>
      <w:r>
        <w:rPr>
          <w:rFonts w:hint="eastAsia" w:ascii="宋体" w:hAnsi="宋体" w:cs="宋体"/>
          <w:b/>
          <w:bCs/>
          <w:sz w:val="39"/>
          <w:szCs w:val="39"/>
        </w:rPr>
        <w:t>成都市新津区疾病预防控制中心</w:t>
      </w:r>
    </w:p>
    <w:p w14:paraId="562E56D7">
      <w:pPr>
        <w:spacing w:after="312" w:afterLines="100"/>
        <w:jc w:val="center"/>
        <w:rPr>
          <w:rFonts w:ascii="宋体" w:hAnsi="宋体" w:cs="宋体"/>
          <w:b/>
          <w:bCs/>
          <w:sz w:val="39"/>
          <w:szCs w:val="39"/>
        </w:rPr>
      </w:pPr>
      <w:r>
        <w:rPr>
          <w:rFonts w:hint="eastAsia" w:ascii="宋体" w:hAnsi="宋体" w:cs="宋体"/>
          <w:b/>
          <w:bCs/>
          <w:sz w:val="39"/>
          <w:szCs w:val="39"/>
        </w:rPr>
        <w:t>流式细胞仪采购项目的询价函</w:t>
      </w:r>
    </w:p>
    <w:p w14:paraId="7BCED737">
      <w:pPr>
        <w:spacing w:line="360" w:lineRule="auto"/>
        <w:ind w:firstLine="480" w:firstLineChars="200"/>
        <w:rPr>
          <w:rFonts w:ascii="宋体" w:hAnsi="宋体" w:cs="宋体"/>
          <w:sz w:val="24"/>
        </w:rPr>
      </w:pPr>
      <w:r>
        <w:rPr>
          <w:rFonts w:hint="eastAsia" w:ascii="宋体" w:hAnsi="宋体" w:cs="宋体"/>
          <w:sz w:val="24"/>
        </w:rPr>
        <w:t>为符合艾滋病患者CD4细胞数量检测工作要求，成都市新津区疾病预防控制中心拟对检测所使用的仪器进行公开询价。具体信息如下：</w:t>
      </w:r>
    </w:p>
    <w:p w14:paraId="254139EF">
      <w:pPr>
        <w:pStyle w:val="2"/>
        <w:rPr>
          <w:rFonts w:ascii="宋体" w:hAnsi="宋体" w:cs="宋体"/>
        </w:rPr>
      </w:pPr>
      <w:r>
        <w:rPr>
          <w:rFonts w:hint="eastAsia" w:ascii="宋体" w:hAnsi="宋体" w:cs="宋体"/>
        </w:rPr>
        <w:t>一、项目名称</w:t>
      </w:r>
    </w:p>
    <w:p w14:paraId="4E61AED1">
      <w:pPr>
        <w:spacing w:line="360" w:lineRule="auto"/>
        <w:ind w:firstLine="480" w:firstLineChars="200"/>
        <w:rPr>
          <w:rFonts w:ascii="宋体" w:hAnsi="宋体" w:cs="宋体"/>
          <w:sz w:val="24"/>
        </w:rPr>
      </w:pPr>
      <w:r>
        <w:rPr>
          <w:rFonts w:ascii="宋体" w:hAnsi="宋体" w:cs="宋体"/>
          <w:sz w:val="24"/>
        </w:rPr>
        <w:t>成都市新津区疾病预防控制中心</w:t>
      </w:r>
      <w:r>
        <w:rPr>
          <w:rFonts w:hint="eastAsia" w:ascii="宋体" w:hAnsi="宋体" w:cs="宋体"/>
          <w:sz w:val="24"/>
        </w:rPr>
        <w:t>流式细胞仪采购</w:t>
      </w:r>
      <w:r>
        <w:rPr>
          <w:rFonts w:ascii="宋体" w:hAnsi="宋体" w:cs="宋体"/>
          <w:sz w:val="24"/>
        </w:rPr>
        <w:t>项目</w:t>
      </w:r>
      <w:r>
        <w:rPr>
          <w:rFonts w:hint="eastAsia" w:ascii="宋体" w:hAnsi="宋体" w:cs="宋体"/>
          <w:sz w:val="24"/>
        </w:rPr>
        <w:t>。</w:t>
      </w:r>
    </w:p>
    <w:p w14:paraId="63C22668">
      <w:pPr>
        <w:pStyle w:val="2"/>
        <w:rPr>
          <w:rFonts w:ascii="宋体" w:hAnsi="宋体" w:cs="宋体"/>
        </w:rPr>
      </w:pPr>
      <w:r>
        <w:rPr>
          <w:rFonts w:hint="eastAsia" w:ascii="宋体" w:hAnsi="宋体" w:cs="宋体"/>
        </w:rPr>
        <w:t>二、报价</w:t>
      </w:r>
    </w:p>
    <w:tbl>
      <w:tblPr>
        <w:tblStyle w:val="6"/>
        <w:tblW w:w="10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90"/>
        <w:gridCol w:w="1028"/>
        <w:gridCol w:w="6493"/>
      </w:tblGrid>
      <w:tr w14:paraId="316D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594" w:type="dxa"/>
            <w:noWrap w:val="0"/>
            <w:vAlign w:val="center"/>
          </w:tcPr>
          <w:p w14:paraId="20D59A4A">
            <w:pPr>
              <w:jc w:val="center"/>
              <w:rPr>
                <w:rFonts w:ascii="宋体" w:hAnsi="宋体" w:cs="宋体"/>
                <w:sz w:val="24"/>
              </w:rPr>
            </w:pPr>
            <w:r>
              <w:rPr>
                <w:rFonts w:hint="eastAsia" w:ascii="宋体" w:hAnsi="宋体" w:cs="宋体"/>
                <w:sz w:val="24"/>
              </w:rPr>
              <w:t>序号</w:t>
            </w:r>
          </w:p>
        </w:tc>
        <w:tc>
          <w:tcPr>
            <w:tcW w:w="2190" w:type="dxa"/>
            <w:noWrap w:val="0"/>
            <w:vAlign w:val="center"/>
          </w:tcPr>
          <w:p w14:paraId="352578DF">
            <w:pPr>
              <w:jc w:val="center"/>
              <w:rPr>
                <w:rFonts w:ascii="宋体" w:hAnsi="宋体" w:cs="宋体"/>
                <w:sz w:val="24"/>
              </w:rPr>
            </w:pPr>
            <w:r>
              <w:rPr>
                <w:rFonts w:hint="eastAsia" w:ascii="宋体" w:hAnsi="宋体" w:cs="宋体"/>
                <w:sz w:val="24"/>
              </w:rPr>
              <w:t>设备名称</w:t>
            </w:r>
          </w:p>
        </w:tc>
        <w:tc>
          <w:tcPr>
            <w:tcW w:w="1028" w:type="dxa"/>
            <w:noWrap w:val="0"/>
            <w:vAlign w:val="center"/>
          </w:tcPr>
          <w:p w14:paraId="3870B8A5">
            <w:pPr>
              <w:jc w:val="center"/>
              <w:rPr>
                <w:rFonts w:ascii="宋体" w:hAnsi="宋体" w:cs="宋体"/>
                <w:sz w:val="24"/>
              </w:rPr>
            </w:pPr>
            <w:r>
              <w:rPr>
                <w:rFonts w:hint="eastAsia" w:ascii="宋体" w:hAnsi="宋体" w:cs="宋体"/>
                <w:sz w:val="24"/>
              </w:rPr>
              <w:t>台数</w:t>
            </w:r>
          </w:p>
        </w:tc>
        <w:tc>
          <w:tcPr>
            <w:tcW w:w="6493" w:type="dxa"/>
            <w:noWrap w:val="0"/>
            <w:vAlign w:val="center"/>
          </w:tcPr>
          <w:p w14:paraId="150DB9BA">
            <w:pPr>
              <w:jc w:val="center"/>
              <w:rPr>
                <w:rFonts w:hint="eastAsia" w:ascii="宋体" w:hAnsi="宋体" w:cs="宋体"/>
                <w:sz w:val="24"/>
              </w:rPr>
            </w:pPr>
            <w:r>
              <w:rPr>
                <w:rFonts w:hint="eastAsia" w:ascii="宋体" w:hAnsi="宋体" w:cs="宋体"/>
                <w:sz w:val="24"/>
              </w:rPr>
              <w:t>参数要求</w:t>
            </w:r>
          </w:p>
        </w:tc>
      </w:tr>
      <w:tr w14:paraId="6185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4" w:hRule="atLeast"/>
          <w:jc w:val="center"/>
        </w:trPr>
        <w:tc>
          <w:tcPr>
            <w:tcW w:w="594" w:type="dxa"/>
            <w:noWrap w:val="0"/>
            <w:vAlign w:val="center"/>
          </w:tcPr>
          <w:p w14:paraId="2A1F9D7A">
            <w:pPr>
              <w:spacing w:line="360" w:lineRule="auto"/>
              <w:jc w:val="center"/>
              <w:rPr>
                <w:rFonts w:ascii="宋体" w:hAnsi="宋体" w:cs="宋体"/>
                <w:sz w:val="24"/>
              </w:rPr>
            </w:pPr>
            <w:r>
              <w:rPr>
                <w:rFonts w:hint="eastAsia" w:ascii="宋体" w:hAnsi="宋体" w:cs="宋体"/>
                <w:sz w:val="24"/>
              </w:rPr>
              <w:t>1</w:t>
            </w:r>
          </w:p>
        </w:tc>
        <w:tc>
          <w:tcPr>
            <w:tcW w:w="2190" w:type="dxa"/>
            <w:noWrap w:val="0"/>
            <w:vAlign w:val="center"/>
          </w:tcPr>
          <w:p w14:paraId="3CDF0C4E">
            <w:pPr>
              <w:spacing w:line="360" w:lineRule="auto"/>
              <w:jc w:val="center"/>
              <w:rPr>
                <w:rFonts w:ascii="宋体" w:hAnsi="宋体" w:cs="宋体"/>
                <w:sz w:val="24"/>
              </w:rPr>
            </w:pPr>
            <w:r>
              <w:rPr>
                <w:rFonts w:hint="eastAsia" w:ascii="宋体" w:hAnsi="宋体" w:cs="宋体"/>
                <w:sz w:val="24"/>
              </w:rPr>
              <w:t>流式细胞仪</w:t>
            </w:r>
          </w:p>
        </w:tc>
        <w:tc>
          <w:tcPr>
            <w:tcW w:w="1028" w:type="dxa"/>
            <w:noWrap w:val="0"/>
            <w:vAlign w:val="center"/>
          </w:tcPr>
          <w:p w14:paraId="3C3DBAFA">
            <w:pPr>
              <w:spacing w:line="360" w:lineRule="auto"/>
              <w:jc w:val="center"/>
              <w:rPr>
                <w:rFonts w:ascii="宋体" w:hAnsi="宋体" w:cs="宋体"/>
                <w:sz w:val="24"/>
              </w:rPr>
            </w:pPr>
            <w:r>
              <w:rPr>
                <w:rFonts w:hint="eastAsia" w:ascii="宋体" w:hAnsi="宋体" w:cs="宋体"/>
                <w:sz w:val="24"/>
              </w:rPr>
              <w:t>1</w:t>
            </w:r>
          </w:p>
        </w:tc>
        <w:tc>
          <w:tcPr>
            <w:tcW w:w="6493" w:type="dxa"/>
            <w:noWrap w:val="0"/>
            <w:vAlign w:val="center"/>
          </w:tcPr>
          <w:p w14:paraId="344E739F">
            <w:pPr>
              <w:pStyle w:val="10"/>
              <w:numPr>
                <w:ilvl w:val="0"/>
                <w:numId w:val="1"/>
              </w:numPr>
              <w:spacing w:line="360" w:lineRule="auto"/>
              <w:jc w:val="both"/>
              <w:rPr>
                <w:rFonts w:hint="eastAsia" w:ascii="宋体" w:hAnsi="宋体" w:eastAsia="宋体" w:cs="仿宋_GB2312"/>
                <w:sz w:val="21"/>
                <w:szCs w:val="21"/>
              </w:rPr>
            </w:pPr>
            <w:r>
              <w:rPr>
                <w:rFonts w:hint="eastAsia" w:ascii="宋体" w:hAnsi="宋体" w:eastAsia="宋体" w:cs="仿宋_GB2312"/>
                <w:color w:val="auto"/>
                <w:sz w:val="21"/>
                <w:szCs w:val="21"/>
              </w:rPr>
              <w:t>激光器：配置</w:t>
            </w:r>
            <w:r>
              <w:rPr>
                <w:rFonts w:hint="eastAsia" w:ascii="宋体" w:hAnsi="宋体" w:eastAsia="宋体" w:cs="仿宋_GB2312"/>
                <w:color w:val="auto"/>
                <w:sz w:val="21"/>
                <w:szCs w:val="21"/>
                <w:lang w:val="en-US" w:eastAsia="zh-CN"/>
              </w:rPr>
              <w:t>双激光固态激光器，</w:t>
            </w:r>
            <w:bookmarkStart w:id="0" w:name="_GoBack"/>
            <w:bookmarkEnd w:id="0"/>
            <w:r>
              <w:rPr>
                <w:rFonts w:hint="eastAsia" w:ascii="宋体" w:hAnsi="宋体" w:eastAsia="宋体" w:cs="仿宋_GB2312"/>
                <w:color w:val="auto"/>
                <w:sz w:val="21"/>
                <w:szCs w:val="21"/>
                <w:lang w:val="en-US" w:eastAsia="zh-CN"/>
              </w:rPr>
              <w:t>后期原机</w:t>
            </w:r>
            <w:r>
              <w:rPr>
                <w:rFonts w:hint="eastAsia" w:ascii="宋体" w:hAnsi="宋体" w:eastAsia="宋体" w:cs="仿宋_GB2312"/>
                <w:sz w:val="21"/>
                <w:szCs w:val="21"/>
                <w:lang w:val="en-US" w:eastAsia="zh-CN"/>
              </w:rPr>
              <w:t>可升级到3激光及以上</w:t>
            </w:r>
          </w:p>
          <w:p w14:paraId="0696E5D4">
            <w:pPr>
              <w:pStyle w:val="10"/>
              <w:numPr>
                <w:ilvl w:val="0"/>
                <w:numId w:val="1"/>
              </w:numPr>
              <w:spacing w:line="360" w:lineRule="auto"/>
              <w:jc w:val="both"/>
              <w:rPr>
                <w:rFonts w:hint="eastAsia" w:ascii="宋体" w:hAnsi="宋体" w:eastAsia="宋体" w:cs="仿宋_GB2312"/>
                <w:color w:val="auto"/>
                <w:sz w:val="21"/>
                <w:szCs w:val="21"/>
              </w:rPr>
            </w:pPr>
            <w:r>
              <w:rPr>
                <w:rFonts w:hint="eastAsia" w:ascii="宋体" w:hAnsi="宋体" w:eastAsia="宋体" w:cs="仿宋_GB2312"/>
                <w:color w:val="auto"/>
                <w:sz w:val="21"/>
                <w:szCs w:val="21"/>
              </w:rPr>
              <w:t>光路设计：封闭化光路设计，光纤传导</w:t>
            </w:r>
          </w:p>
          <w:p w14:paraId="09200CF7">
            <w:pPr>
              <w:pStyle w:val="10"/>
              <w:numPr>
                <w:ilvl w:val="0"/>
                <w:numId w:val="1"/>
              </w:numPr>
              <w:spacing w:line="360" w:lineRule="auto"/>
              <w:jc w:val="both"/>
              <w:rPr>
                <w:rFonts w:hint="eastAsia" w:ascii="宋体" w:hAnsi="宋体" w:eastAsia="宋体" w:cs="仿宋_GB2312"/>
                <w:sz w:val="21"/>
                <w:szCs w:val="21"/>
              </w:rPr>
            </w:pPr>
            <w:r>
              <w:rPr>
                <w:rFonts w:hint="eastAsia" w:ascii="宋体" w:hAnsi="宋体" w:eastAsia="宋体" w:cs="仿宋_GB2312"/>
                <w:color w:val="auto"/>
                <w:sz w:val="21"/>
                <w:szCs w:val="21"/>
              </w:rPr>
              <w:t>荧光通道</w:t>
            </w:r>
            <w:r>
              <w:rPr>
                <w:rFonts w:hint="eastAsia" w:ascii="宋体" w:hAnsi="宋体" w:eastAsia="宋体" w:cs="仿宋_GB2312"/>
                <w:sz w:val="21"/>
                <w:szCs w:val="21"/>
              </w:rPr>
              <w:t>：≥6色</w:t>
            </w:r>
          </w:p>
          <w:p w14:paraId="2B641CBF">
            <w:pPr>
              <w:pStyle w:val="10"/>
              <w:numPr>
                <w:ilvl w:val="0"/>
                <w:numId w:val="1"/>
              </w:numPr>
              <w:spacing w:line="360" w:lineRule="auto"/>
              <w:jc w:val="both"/>
              <w:rPr>
                <w:rFonts w:hint="eastAsia" w:ascii="宋体" w:hAnsi="宋体" w:eastAsia="宋体" w:cs="仿宋_GB2312"/>
                <w:color w:val="auto"/>
                <w:sz w:val="21"/>
                <w:szCs w:val="21"/>
              </w:rPr>
            </w:pPr>
            <w:r>
              <w:rPr>
                <w:rFonts w:hint="eastAsia" w:ascii="宋体" w:hAnsi="宋体" w:eastAsia="宋体" w:cs="仿宋_GB2312"/>
                <w:color w:val="auto"/>
                <w:sz w:val="21"/>
                <w:szCs w:val="21"/>
              </w:rPr>
              <w:t xml:space="preserve">荧光灵敏度：FITC≤ </w:t>
            </w:r>
            <w:r>
              <w:rPr>
                <w:rFonts w:ascii="宋体" w:hAnsi="宋体" w:eastAsia="宋体" w:cs="仿宋_GB2312"/>
                <w:color w:val="auto"/>
                <w:sz w:val="21"/>
                <w:szCs w:val="21"/>
              </w:rPr>
              <w:t>8</w:t>
            </w:r>
            <w:r>
              <w:rPr>
                <w:rFonts w:hint="eastAsia" w:ascii="宋体" w:hAnsi="宋体" w:eastAsia="宋体" w:cs="仿宋_GB2312"/>
                <w:color w:val="auto"/>
                <w:sz w:val="21"/>
                <w:szCs w:val="21"/>
              </w:rPr>
              <w:t>0 MESF，PE≤ 50 MESF，APC≤ 50 MESF</w:t>
            </w:r>
          </w:p>
          <w:p w14:paraId="04421607">
            <w:pPr>
              <w:pStyle w:val="10"/>
              <w:numPr>
                <w:ilvl w:val="0"/>
                <w:numId w:val="1"/>
              </w:numPr>
              <w:spacing w:line="360" w:lineRule="auto"/>
              <w:jc w:val="both"/>
              <w:rPr>
                <w:rFonts w:hint="eastAsia" w:ascii="宋体" w:hAnsi="宋体" w:eastAsia="宋体" w:cs="仿宋_GB2312"/>
                <w:color w:val="auto"/>
                <w:sz w:val="21"/>
                <w:szCs w:val="21"/>
              </w:rPr>
            </w:pPr>
            <w:r>
              <w:rPr>
                <w:rFonts w:hint="eastAsia" w:ascii="宋体" w:hAnsi="宋体" w:eastAsia="宋体" w:cs="仿宋_GB2312"/>
                <w:color w:val="auto"/>
                <w:sz w:val="21"/>
                <w:szCs w:val="21"/>
              </w:rPr>
              <w:t>仪器分辨率：CV≤2%</w:t>
            </w:r>
          </w:p>
          <w:p w14:paraId="714ECDB3">
            <w:pPr>
              <w:pStyle w:val="10"/>
              <w:numPr>
                <w:ilvl w:val="0"/>
                <w:numId w:val="1"/>
              </w:numPr>
              <w:spacing w:line="360" w:lineRule="auto"/>
              <w:jc w:val="both"/>
              <w:rPr>
                <w:rFonts w:hint="eastAsia" w:ascii="宋体" w:hAnsi="宋体" w:eastAsia="宋体" w:cs="仿宋_GB2312"/>
                <w:color w:val="auto"/>
                <w:sz w:val="21"/>
                <w:szCs w:val="21"/>
              </w:rPr>
            </w:pPr>
            <w:r>
              <w:rPr>
                <w:rFonts w:hint="eastAsia" w:ascii="宋体" w:hAnsi="宋体" w:eastAsia="宋体" w:cs="仿宋_GB2312"/>
                <w:color w:val="auto"/>
                <w:sz w:val="21"/>
                <w:szCs w:val="21"/>
              </w:rPr>
              <w:t>绝对计数方法: 同时兼容微球法或体积法绝对计数</w:t>
            </w:r>
          </w:p>
          <w:p w14:paraId="416E5E32">
            <w:pPr>
              <w:pStyle w:val="10"/>
              <w:numPr>
                <w:ilvl w:val="0"/>
                <w:numId w:val="1"/>
              </w:numPr>
              <w:spacing w:line="360" w:lineRule="auto"/>
              <w:jc w:val="both"/>
              <w:rPr>
                <w:rFonts w:hint="eastAsia" w:ascii="宋体" w:hAnsi="宋体" w:eastAsia="宋体" w:cs="仿宋_GB2312"/>
                <w:color w:val="auto"/>
                <w:sz w:val="21"/>
                <w:szCs w:val="21"/>
              </w:rPr>
            </w:pPr>
            <w:r>
              <w:rPr>
                <w:rFonts w:hint="eastAsia" w:ascii="宋体" w:hAnsi="宋体" w:eastAsia="宋体" w:cs="仿宋_GB2312"/>
                <w:color w:val="auto"/>
                <w:sz w:val="21"/>
                <w:szCs w:val="21"/>
              </w:rPr>
              <w:t>检测速度：≥ 30000事件/秒</w:t>
            </w:r>
          </w:p>
          <w:p w14:paraId="2EE2132F">
            <w:pPr>
              <w:pStyle w:val="10"/>
              <w:numPr>
                <w:ilvl w:val="0"/>
                <w:numId w:val="1"/>
              </w:numPr>
              <w:spacing w:line="360" w:lineRule="auto"/>
              <w:jc w:val="both"/>
              <w:rPr>
                <w:rFonts w:hint="eastAsia" w:ascii="宋体" w:hAnsi="宋体" w:eastAsia="宋体" w:cs="仿宋_GB2312"/>
                <w:color w:val="auto"/>
                <w:sz w:val="21"/>
                <w:szCs w:val="21"/>
              </w:rPr>
            </w:pPr>
            <w:r>
              <w:rPr>
                <w:rFonts w:hint="eastAsia" w:ascii="宋体" w:hAnsi="宋体" w:eastAsia="宋体" w:cs="仿宋_GB2312"/>
                <w:color w:val="auto"/>
                <w:sz w:val="21"/>
                <w:szCs w:val="21"/>
              </w:rPr>
              <w:t>仪器携带污染率：≤0.1%</w:t>
            </w:r>
          </w:p>
          <w:p w14:paraId="1C4CBA2B">
            <w:pPr>
              <w:pStyle w:val="10"/>
              <w:numPr>
                <w:ilvl w:val="0"/>
                <w:numId w:val="1"/>
              </w:numPr>
              <w:spacing w:line="360" w:lineRule="auto"/>
              <w:jc w:val="both"/>
              <w:rPr>
                <w:rFonts w:hint="eastAsia" w:ascii="宋体" w:hAnsi="宋体" w:eastAsia="宋体" w:cs="仿宋_GB2312"/>
                <w:color w:val="auto"/>
                <w:sz w:val="21"/>
                <w:szCs w:val="21"/>
              </w:rPr>
            </w:pPr>
            <w:r>
              <w:rPr>
                <w:rFonts w:hint="eastAsia" w:ascii="宋体" w:hAnsi="宋体" w:eastAsia="宋体" w:cs="仿宋_GB2312"/>
                <w:color w:val="auto"/>
                <w:sz w:val="21"/>
                <w:szCs w:val="21"/>
              </w:rPr>
              <w:t>上样形式：支持标准流式管、多种规格EP管等多种上样形式。可单管上样、选配40孔盘或96孔板自动上样器，并自带混匀功能</w:t>
            </w:r>
          </w:p>
          <w:p w14:paraId="2AD9AB82">
            <w:pPr>
              <w:pStyle w:val="10"/>
              <w:numPr>
                <w:ilvl w:val="0"/>
                <w:numId w:val="1"/>
              </w:numPr>
              <w:spacing w:line="360" w:lineRule="auto"/>
              <w:jc w:val="both"/>
              <w:rPr>
                <w:rFonts w:ascii="Calibri" w:hAnsi="Calibri" w:eastAsia="宋体" w:cs="仿宋_GB2312"/>
                <w:color w:val="auto"/>
                <w:sz w:val="21"/>
                <w:szCs w:val="21"/>
              </w:rPr>
            </w:pPr>
            <w:r>
              <w:rPr>
                <w:rFonts w:hint="eastAsia" w:ascii="宋体" w:hAnsi="宋体" w:eastAsia="宋体" w:cs="仿宋_GB2312"/>
                <w:color w:val="auto"/>
                <w:sz w:val="21"/>
                <w:szCs w:val="21"/>
              </w:rPr>
              <w:t>一体化样本前处理系统：配备同品牌全自动样本前处理仪并与流式细胞仪联机组成全自动流式工作站（一体机）</w:t>
            </w:r>
            <w:r>
              <w:rPr>
                <w:rFonts w:ascii="Cambria" w:hAnsi="Cambria" w:eastAsia="宋体" w:cs="仿宋_GB2312"/>
                <w:color w:val="auto"/>
                <w:sz w:val="21"/>
                <w:szCs w:val="21"/>
              </w:rPr>
              <w:t>，</w:t>
            </w:r>
            <w:r>
              <w:rPr>
                <w:rFonts w:ascii="Calibri" w:hAnsi="Calibri" w:eastAsia="宋体" w:cs="宋体"/>
                <w:color w:val="auto"/>
                <w:sz w:val="21"/>
                <w:szCs w:val="21"/>
              </w:rPr>
              <w:t>实现采血管</w:t>
            </w:r>
            <w:r>
              <w:rPr>
                <w:rFonts w:hint="eastAsia" w:ascii="Calibri" w:hAnsi="Calibri" w:eastAsia="宋体" w:cs="宋体"/>
                <w:color w:val="auto"/>
                <w:sz w:val="21"/>
                <w:szCs w:val="21"/>
              </w:rPr>
              <w:t>脱盖</w:t>
            </w:r>
            <w:r>
              <w:rPr>
                <w:rFonts w:ascii="Calibri" w:hAnsi="Calibri" w:eastAsia="宋体" w:cs="宋体"/>
                <w:color w:val="auto"/>
                <w:sz w:val="21"/>
                <w:szCs w:val="21"/>
              </w:rPr>
              <w:t>以降低生物危险性，及自动完成样品/抗体移液和裂解步骤</w:t>
            </w:r>
            <w:r>
              <w:rPr>
                <w:rFonts w:hint="eastAsia" w:ascii="Calibri" w:hAnsi="Calibri" w:eastAsia="宋体" w:cs="宋体"/>
                <w:color w:val="auto"/>
                <w:sz w:val="21"/>
                <w:szCs w:val="21"/>
              </w:rPr>
              <w:t>，无需升级更换可实现淋巴细胞亚群及细胞因子等项目处理工作，实现全自动智能化。</w:t>
            </w:r>
          </w:p>
          <w:p w14:paraId="1260D588">
            <w:pPr>
              <w:pStyle w:val="10"/>
              <w:numPr>
                <w:ilvl w:val="0"/>
                <w:numId w:val="1"/>
              </w:numPr>
              <w:spacing w:line="360" w:lineRule="auto"/>
              <w:jc w:val="both"/>
              <w:rPr>
                <w:rFonts w:hint="eastAsia" w:ascii="宋体" w:hAnsi="宋体" w:eastAsia="宋体" w:cs="仿宋_GB2312"/>
                <w:color w:val="auto"/>
                <w:sz w:val="21"/>
                <w:szCs w:val="21"/>
              </w:rPr>
            </w:pPr>
            <w:r>
              <w:rPr>
                <w:rFonts w:hint="eastAsia" w:ascii="宋体" w:hAnsi="宋体" w:eastAsia="宋体" w:cs="仿宋_GB2312"/>
                <w:color w:val="auto"/>
                <w:sz w:val="21"/>
                <w:szCs w:val="21"/>
              </w:rPr>
              <w:t>软 件：中英文界面，支持数据采集和分析同时操作</w:t>
            </w:r>
          </w:p>
          <w:p w14:paraId="55405C2D">
            <w:pPr>
              <w:pStyle w:val="10"/>
              <w:numPr>
                <w:ilvl w:val="0"/>
                <w:numId w:val="1"/>
              </w:numPr>
              <w:spacing w:line="360" w:lineRule="auto"/>
              <w:jc w:val="both"/>
              <w:rPr>
                <w:rFonts w:hint="eastAsia" w:ascii="宋体" w:hAnsi="宋体" w:cs="宋体"/>
              </w:rPr>
            </w:pPr>
            <w:r>
              <w:rPr>
                <w:rFonts w:hint="eastAsia" w:ascii="宋体" w:hAnsi="宋体" w:eastAsia="宋体" w:cs="仿宋_GB2312"/>
                <w:color w:val="auto"/>
                <w:sz w:val="21"/>
                <w:szCs w:val="21"/>
              </w:rPr>
              <w:t>文件格式：支持FCS3.1、FCS3.0和FCS2.0格式文件</w:t>
            </w:r>
          </w:p>
        </w:tc>
      </w:tr>
      <w:tr w14:paraId="57FD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305" w:type="dxa"/>
            <w:gridSpan w:val="4"/>
            <w:noWrap w:val="0"/>
            <w:vAlign w:val="center"/>
          </w:tcPr>
          <w:p w14:paraId="0908C163">
            <w:pPr>
              <w:spacing w:line="360" w:lineRule="auto"/>
              <w:jc w:val="left"/>
              <w:rPr>
                <w:rFonts w:ascii="宋体" w:hAnsi="宋体" w:cs="宋体"/>
                <w:sz w:val="24"/>
              </w:rPr>
            </w:pPr>
            <w:r>
              <w:rPr>
                <w:rFonts w:hint="eastAsia" w:ascii="宋体" w:hAnsi="宋体" w:cs="宋体"/>
                <w:sz w:val="24"/>
              </w:rPr>
              <w:t>报价金额：总价</w:t>
            </w:r>
            <w:r>
              <w:rPr>
                <w:rFonts w:hint="eastAsia" w:ascii="宋体" w:hAnsi="宋体" w:cs="宋体"/>
                <w:sz w:val="24"/>
                <w:u w:val="single"/>
              </w:rPr>
              <w:t xml:space="preserve">         </w:t>
            </w:r>
            <w:r>
              <w:rPr>
                <w:rFonts w:hint="eastAsia" w:ascii="宋体" w:hAnsi="宋体" w:cs="宋体"/>
                <w:sz w:val="24"/>
              </w:rPr>
              <w:t>元  （大写：</w:t>
            </w:r>
            <w:r>
              <w:rPr>
                <w:rFonts w:hint="eastAsia" w:ascii="宋体" w:hAnsi="宋体" w:cs="宋体"/>
                <w:sz w:val="24"/>
                <w:u w:val="single"/>
              </w:rPr>
              <w:t xml:space="preserve">                </w:t>
            </w:r>
            <w:r>
              <w:rPr>
                <w:rFonts w:hint="eastAsia" w:ascii="宋体" w:hAnsi="宋体" w:cs="宋体"/>
                <w:sz w:val="24"/>
              </w:rPr>
              <w:t>）</w:t>
            </w:r>
          </w:p>
        </w:tc>
      </w:tr>
    </w:tbl>
    <w:p w14:paraId="5C7EBAF9">
      <w:pPr>
        <w:pStyle w:val="2"/>
        <w:numPr>
          <w:ilvl w:val="0"/>
          <w:numId w:val="2"/>
        </w:numPr>
        <w:rPr>
          <w:rFonts w:ascii="宋体" w:hAnsi="宋体" w:cs="宋体"/>
        </w:rPr>
      </w:pPr>
      <w:r>
        <w:rPr>
          <w:rFonts w:hint="eastAsia" w:ascii="宋体" w:hAnsi="宋体" w:cs="宋体"/>
        </w:rPr>
        <w:t>报价要求</w:t>
      </w:r>
    </w:p>
    <w:p w14:paraId="054DF492">
      <w:pPr>
        <w:spacing w:line="360" w:lineRule="auto"/>
        <w:ind w:firstLine="240" w:firstLineChars="100"/>
        <w:rPr>
          <w:rFonts w:ascii="宋体" w:hAnsi="宋体" w:cs="宋体"/>
          <w:sz w:val="24"/>
        </w:rPr>
      </w:pPr>
      <w:r>
        <w:rPr>
          <w:rFonts w:hint="eastAsia" w:ascii="宋体" w:hAnsi="宋体" w:cs="宋体"/>
          <w:sz w:val="24"/>
        </w:rPr>
        <w:t>1.报价应包括仪器型号及品牌，并提供单位的经营</w:t>
      </w:r>
      <w:r>
        <w:rPr>
          <w:rFonts w:ascii="宋体" w:hAnsi="宋体" w:cs="宋体"/>
          <w:sz w:val="24"/>
        </w:rPr>
        <w:t>资质证明（</w:t>
      </w:r>
      <w:r>
        <w:rPr>
          <w:rFonts w:hint="eastAsia" w:ascii="宋体" w:hAnsi="宋体" w:cs="宋体"/>
          <w:sz w:val="24"/>
        </w:rPr>
        <w:t>需</w:t>
      </w:r>
      <w:r>
        <w:rPr>
          <w:rFonts w:ascii="宋体" w:hAnsi="宋体" w:cs="宋体"/>
          <w:sz w:val="24"/>
        </w:rPr>
        <w:t>加盖鲜章）；</w:t>
      </w:r>
    </w:p>
    <w:p w14:paraId="70F16108">
      <w:pPr>
        <w:spacing w:line="360" w:lineRule="auto"/>
        <w:ind w:firstLine="240" w:firstLineChars="100"/>
        <w:rPr>
          <w:rFonts w:ascii="宋体" w:hAnsi="宋体" w:cs="宋体"/>
          <w:sz w:val="24"/>
        </w:rPr>
      </w:pPr>
      <w:r>
        <w:rPr>
          <w:rFonts w:hint="eastAsia" w:ascii="宋体" w:hAnsi="宋体" w:cs="宋体"/>
          <w:sz w:val="24"/>
        </w:rPr>
        <w:t>2.</w:t>
      </w:r>
      <w:r>
        <w:rPr>
          <w:rFonts w:ascii="宋体" w:hAnsi="宋体" w:cs="宋体"/>
          <w:sz w:val="24"/>
        </w:rPr>
        <w:t>报价应是最终用户验收合格后的总价，包括运输、税费</w:t>
      </w:r>
      <w:r>
        <w:rPr>
          <w:rFonts w:hint="eastAsia" w:ascii="宋体" w:hAnsi="宋体" w:cs="宋体"/>
          <w:sz w:val="24"/>
        </w:rPr>
        <w:t>和</w:t>
      </w:r>
      <w:r>
        <w:rPr>
          <w:rFonts w:ascii="宋体" w:hAnsi="宋体" w:cs="宋体"/>
          <w:sz w:val="24"/>
        </w:rPr>
        <w:t>该项目有关的其它费用。</w:t>
      </w:r>
    </w:p>
    <w:p w14:paraId="7012ED56">
      <w:pPr>
        <w:spacing w:line="360" w:lineRule="auto"/>
        <w:ind w:firstLine="240" w:firstLineChars="100"/>
        <w:rPr>
          <w:rFonts w:ascii="宋体" w:hAnsi="宋体" w:cs="宋体"/>
          <w:sz w:val="24"/>
        </w:rPr>
      </w:pPr>
      <w:r>
        <w:rPr>
          <w:rFonts w:hint="eastAsia" w:ascii="宋体" w:hAnsi="宋体" w:cs="宋体"/>
          <w:sz w:val="24"/>
        </w:rPr>
        <w:t>3.</w:t>
      </w:r>
      <w:r>
        <w:rPr>
          <w:rFonts w:ascii="宋体" w:hAnsi="宋体" w:cs="宋体"/>
          <w:sz w:val="24"/>
        </w:rPr>
        <w:t>“报价表”需由法定代表人或授权代表签字并</w:t>
      </w:r>
      <w:r>
        <w:rPr>
          <w:rFonts w:hint="eastAsia" w:ascii="宋体" w:hAnsi="宋体" w:cs="宋体"/>
          <w:sz w:val="24"/>
        </w:rPr>
        <w:t>加盖鲜</w:t>
      </w:r>
      <w:r>
        <w:rPr>
          <w:rFonts w:ascii="宋体" w:hAnsi="宋体" w:cs="宋体"/>
          <w:sz w:val="24"/>
        </w:rPr>
        <w:t>章。</w:t>
      </w:r>
    </w:p>
    <w:p w14:paraId="250C585D">
      <w:pPr>
        <w:spacing w:line="360" w:lineRule="auto"/>
        <w:ind w:firstLine="240" w:firstLineChars="100"/>
        <w:rPr>
          <w:rFonts w:ascii="宋体" w:hAnsi="宋体" w:cs="宋体"/>
          <w:sz w:val="24"/>
        </w:rPr>
      </w:pPr>
      <w:r>
        <w:rPr>
          <w:rFonts w:hint="eastAsia" w:ascii="宋体" w:hAnsi="宋体" w:cs="宋体"/>
          <w:sz w:val="24"/>
        </w:rPr>
        <w:t>4.</w:t>
      </w:r>
      <w:r>
        <w:rPr>
          <w:rFonts w:ascii="宋体" w:hAnsi="宋体" w:cs="宋体"/>
          <w:sz w:val="24"/>
        </w:rPr>
        <w:t>提供公司</w:t>
      </w:r>
      <w:r>
        <w:rPr>
          <w:rFonts w:hint="eastAsia" w:ascii="宋体" w:hAnsi="宋体" w:cs="宋体"/>
          <w:sz w:val="24"/>
        </w:rPr>
        <w:t>或厂商</w:t>
      </w:r>
      <w:r>
        <w:rPr>
          <w:rFonts w:ascii="宋体" w:hAnsi="宋体" w:cs="宋体"/>
          <w:sz w:val="24"/>
        </w:rPr>
        <w:t>不少于一例</w:t>
      </w:r>
      <w:r>
        <w:rPr>
          <w:rFonts w:hint="eastAsia" w:ascii="宋体" w:hAnsi="宋体" w:cs="宋体"/>
          <w:sz w:val="24"/>
        </w:rPr>
        <w:t>在四川省内流式细胞仪使用</w:t>
      </w:r>
      <w:r>
        <w:rPr>
          <w:rFonts w:ascii="宋体" w:hAnsi="宋体" w:cs="宋体"/>
          <w:sz w:val="24"/>
        </w:rPr>
        <w:t>案例（</w:t>
      </w:r>
      <w:r>
        <w:rPr>
          <w:rFonts w:hint="eastAsia" w:ascii="宋体" w:hAnsi="宋体" w:cs="宋体"/>
          <w:sz w:val="24"/>
        </w:rPr>
        <w:t>提供使用单位名称及型号并</w:t>
      </w:r>
      <w:r>
        <w:rPr>
          <w:rFonts w:ascii="宋体" w:hAnsi="宋体" w:cs="宋体"/>
          <w:sz w:val="24"/>
        </w:rPr>
        <w:t>盖</w:t>
      </w:r>
      <w:r>
        <w:rPr>
          <w:rFonts w:hint="eastAsia" w:ascii="宋体" w:hAnsi="宋体" w:cs="宋体"/>
          <w:sz w:val="24"/>
        </w:rPr>
        <w:t>鲜</w:t>
      </w:r>
      <w:r>
        <w:rPr>
          <w:rFonts w:ascii="宋体" w:hAnsi="宋体" w:cs="宋体"/>
          <w:sz w:val="24"/>
        </w:rPr>
        <w:t>章）。</w:t>
      </w:r>
    </w:p>
    <w:p w14:paraId="60204708">
      <w:pPr>
        <w:pStyle w:val="2"/>
        <w:rPr>
          <w:rFonts w:ascii="宋体" w:hAnsi="宋体" w:cs="宋体"/>
        </w:rPr>
      </w:pPr>
      <w:r>
        <w:rPr>
          <w:rFonts w:hint="eastAsia" w:ascii="宋体" w:hAnsi="宋体" w:cs="宋体"/>
        </w:rPr>
        <w:t>三、资质要求</w:t>
      </w:r>
    </w:p>
    <w:p w14:paraId="7346CDCB">
      <w:pPr>
        <w:spacing w:line="360" w:lineRule="auto"/>
        <w:ind w:firstLine="240" w:firstLineChars="100"/>
        <w:rPr>
          <w:rFonts w:ascii="宋体" w:hAnsi="宋体" w:cs="宋体"/>
          <w:sz w:val="24"/>
        </w:rPr>
      </w:pPr>
      <w:r>
        <w:rPr>
          <w:rFonts w:hint="eastAsia" w:ascii="宋体" w:hAnsi="宋体" w:cs="宋体"/>
          <w:sz w:val="24"/>
          <w:lang w:val="en-US" w:eastAsia="zh-CN"/>
        </w:rPr>
        <w:t>5</w:t>
      </w:r>
      <w:r>
        <w:rPr>
          <w:rFonts w:hint="eastAsia" w:ascii="宋体" w:hAnsi="宋体" w:cs="宋体"/>
          <w:sz w:val="24"/>
        </w:rPr>
        <w:t>.具有独立承担</w:t>
      </w:r>
      <w:r>
        <w:fldChar w:fldCharType="begin"/>
      </w:r>
      <w:r>
        <w:instrText xml:space="preserve"> HYPERLINK "http://www.lawtime.cn/info/minfa/mszeren/" \t "_blank" </w:instrText>
      </w:r>
      <w:r>
        <w:fldChar w:fldCharType="separate"/>
      </w:r>
      <w:r>
        <w:rPr>
          <w:rFonts w:hint="eastAsia" w:ascii="宋体" w:hAnsi="宋体" w:cs="宋体"/>
          <w:sz w:val="24"/>
        </w:rPr>
        <w:t>民事责任</w:t>
      </w:r>
      <w:r>
        <w:rPr>
          <w:rFonts w:hint="eastAsia" w:ascii="宋体" w:hAnsi="宋体" w:cs="宋体"/>
          <w:sz w:val="24"/>
        </w:rPr>
        <w:fldChar w:fldCharType="end"/>
      </w:r>
      <w:r>
        <w:rPr>
          <w:rFonts w:hint="eastAsia" w:ascii="宋体" w:hAnsi="宋体" w:cs="宋体"/>
          <w:sz w:val="24"/>
        </w:rPr>
        <w:t>的能力；</w:t>
      </w:r>
    </w:p>
    <w:p w14:paraId="672446D0">
      <w:pPr>
        <w:spacing w:line="360" w:lineRule="auto"/>
        <w:ind w:firstLine="240" w:firstLineChars="100"/>
        <w:rPr>
          <w:rFonts w:ascii="宋体" w:hAnsi="宋体" w:cs="宋体"/>
          <w:sz w:val="24"/>
        </w:rPr>
      </w:pPr>
      <w:r>
        <w:rPr>
          <w:rFonts w:hint="eastAsia" w:ascii="宋体" w:hAnsi="宋体" w:cs="宋体"/>
          <w:sz w:val="24"/>
          <w:lang w:val="en-US" w:eastAsia="zh-CN"/>
        </w:rPr>
        <w:t>6</w:t>
      </w:r>
      <w:r>
        <w:rPr>
          <w:rFonts w:hint="eastAsia" w:ascii="宋体" w:hAnsi="宋体" w:cs="宋体"/>
          <w:sz w:val="24"/>
        </w:rPr>
        <w:t>.具有良好的商业信誉和健全的财务会计制度；</w:t>
      </w:r>
    </w:p>
    <w:p w14:paraId="625B747F">
      <w:pPr>
        <w:spacing w:line="360" w:lineRule="auto"/>
        <w:ind w:firstLine="240" w:firstLineChars="100"/>
        <w:rPr>
          <w:rFonts w:ascii="宋体" w:hAnsi="宋体" w:cs="宋体"/>
          <w:sz w:val="24"/>
        </w:rPr>
      </w:pPr>
      <w:r>
        <w:rPr>
          <w:rFonts w:hint="eastAsia" w:ascii="宋体" w:hAnsi="宋体" w:cs="宋体"/>
          <w:sz w:val="24"/>
          <w:lang w:val="en-US" w:eastAsia="zh-CN"/>
        </w:rPr>
        <w:t>7</w:t>
      </w:r>
      <w:r>
        <w:rPr>
          <w:rFonts w:hint="eastAsia" w:ascii="宋体" w:hAnsi="宋体" w:cs="宋体"/>
          <w:sz w:val="24"/>
        </w:rPr>
        <w:t>.具有履行合同所必需的设备和专业技术能力；</w:t>
      </w:r>
    </w:p>
    <w:p w14:paraId="363E3A5E">
      <w:pPr>
        <w:spacing w:line="360" w:lineRule="auto"/>
        <w:ind w:firstLine="240" w:firstLineChars="100"/>
        <w:rPr>
          <w:rFonts w:ascii="宋体" w:hAnsi="宋体" w:cs="宋体"/>
          <w:sz w:val="24"/>
        </w:rPr>
      </w:pPr>
      <w:r>
        <w:rPr>
          <w:rFonts w:hint="eastAsia" w:ascii="宋体" w:hAnsi="宋体" w:cs="宋体"/>
          <w:sz w:val="24"/>
        </w:rPr>
        <w:t>8.有依法缴纳税收和</w:t>
      </w:r>
      <w:r>
        <w:fldChar w:fldCharType="begin"/>
      </w:r>
      <w:r>
        <w:instrText xml:space="preserve"> HYPERLINK "http://www.lawtime.cn/info/laodong/shehuibaozhang/" \t "_blank" </w:instrText>
      </w:r>
      <w:r>
        <w:fldChar w:fldCharType="separate"/>
      </w:r>
      <w:r>
        <w:rPr>
          <w:rFonts w:hint="eastAsia" w:ascii="宋体" w:hAnsi="宋体" w:cs="宋体"/>
          <w:sz w:val="24"/>
        </w:rPr>
        <w:t>社会保障</w:t>
      </w:r>
      <w:r>
        <w:rPr>
          <w:rFonts w:hint="eastAsia" w:ascii="宋体" w:hAnsi="宋体" w:cs="宋体"/>
          <w:sz w:val="24"/>
        </w:rPr>
        <w:fldChar w:fldCharType="end"/>
      </w:r>
      <w:r>
        <w:rPr>
          <w:rFonts w:hint="eastAsia" w:ascii="宋体" w:hAnsi="宋体" w:cs="宋体"/>
          <w:sz w:val="24"/>
        </w:rPr>
        <w:t>资金的良好记录；</w:t>
      </w:r>
    </w:p>
    <w:p w14:paraId="65FD0B7D">
      <w:pPr>
        <w:spacing w:line="360" w:lineRule="auto"/>
        <w:ind w:firstLine="240" w:firstLineChars="100"/>
        <w:rPr>
          <w:rFonts w:ascii="宋体" w:hAnsi="宋体" w:cs="宋体"/>
          <w:sz w:val="24"/>
        </w:rPr>
      </w:pPr>
      <w:r>
        <w:rPr>
          <w:rFonts w:hint="eastAsia" w:ascii="宋体" w:hAnsi="宋体" w:cs="宋体"/>
          <w:sz w:val="24"/>
        </w:rPr>
        <w:t>9.参加采购活动前三年内，在经营活动中没有重大违法记录；</w:t>
      </w:r>
    </w:p>
    <w:p w14:paraId="3989D4B7">
      <w:pPr>
        <w:spacing w:line="360" w:lineRule="auto"/>
        <w:ind w:firstLine="240" w:firstLineChars="100"/>
        <w:rPr>
          <w:rFonts w:ascii="宋体" w:hAnsi="宋体" w:cs="宋体"/>
          <w:sz w:val="24"/>
          <w:lang w:val="zh-CN"/>
        </w:rPr>
      </w:pPr>
      <w:r>
        <w:rPr>
          <w:rFonts w:hint="eastAsia" w:ascii="宋体" w:hAnsi="宋体" w:cs="宋体"/>
          <w:sz w:val="24"/>
        </w:rPr>
        <w:t>10.法律、</w:t>
      </w:r>
      <w:r>
        <w:fldChar w:fldCharType="begin"/>
      </w:r>
      <w:r>
        <w:instrText xml:space="preserve"> HYPERLINK "http://www.lawtime.cn/info/sifakaoshi/xingzhengfa/" \t "_blank" </w:instrText>
      </w:r>
      <w:r>
        <w:fldChar w:fldCharType="separate"/>
      </w:r>
      <w:r>
        <w:rPr>
          <w:rFonts w:hint="eastAsia" w:ascii="宋体" w:hAnsi="宋体" w:cs="宋体"/>
          <w:sz w:val="24"/>
        </w:rPr>
        <w:t>行政法</w:t>
      </w:r>
      <w:r>
        <w:rPr>
          <w:rFonts w:hint="eastAsia" w:ascii="宋体" w:hAnsi="宋体" w:cs="宋体"/>
          <w:sz w:val="24"/>
        </w:rPr>
        <w:fldChar w:fldCharType="end"/>
      </w:r>
      <w:r>
        <w:rPr>
          <w:rFonts w:hint="eastAsia" w:ascii="宋体" w:hAnsi="宋体" w:cs="宋体"/>
          <w:sz w:val="24"/>
        </w:rPr>
        <w:t>规规定的其他条件。</w:t>
      </w:r>
    </w:p>
    <w:p w14:paraId="1B260B55">
      <w:pPr>
        <w:spacing w:line="360" w:lineRule="auto"/>
        <w:ind w:firstLine="240" w:firstLineChars="100"/>
        <w:rPr>
          <w:rFonts w:hint="eastAsia" w:ascii="宋体" w:hAnsi="宋体" w:cs="宋体"/>
          <w:sz w:val="24"/>
          <w:lang w:val="zh-CN"/>
        </w:rPr>
      </w:pPr>
      <w:r>
        <w:rPr>
          <w:rFonts w:hint="eastAsia" w:ascii="宋体" w:hAnsi="宋体" w:cs="宋体"/>
          <w:sz w:val="24"/>
          <w:lang w:val="zh-CN"/>
        </w:rPr>
        <w:t>11.</w:t>
      </w:r>
      <w:r>
        <w:rPr>
          <w:rFonts w:hint="eastAsia" w:ascii="宋体" w:hAnsi="宋体" w:cs="宋体"/>
          <w:sz w:val="24"/>
        </w:rPr>
        <w:t>具有医疗器械经营许可证；</w:t>
      </w:r>
    </w:p>
    <w:p w14:paraId="75DDD8E6">
      <w:pPr>
        <w:pStyle w:val="2"/>
        <w:rPr>
          <w:rFonts w:ascii="宋体" w:hAnsi="宋体" w:cs="宋体"/>
        </w:rPr>
      </w:pPr>
      <w:r>
        <w:rPr>
          <w:rFonts w:hint="eastAsia" w:ascii="宋体" w:hAnsi="宋体" w:cs="宋体"/>
        </w:rPr>
        <w:t>四、报价方式及时间要求</w:t>
      </w:r>
    </w:p>
    <w:p w14:paraId="23097EC1">
      <w:pPr>
        <w:spacing w:line="360" w:lineRule="auto"/>
        <w:ind w:firstLine="480" w:firstLineChars="200"/>
        <w:rPr>
          <w:rFonts w:hint="eastAsia" w:ascii="宋体" w:hAnsi="宋体" w:cs="宋体"/>
          <w:sz w:val="24"/>
        </w:rPr>
      </w:pPr>
      <w:r>
        <w:rPr>
          <w:rFonts w:hint="eastAsia" w:ascii="宋体" w:hAnsi="宋体" w:cs="宋体"/>
          <w:sz w:val="24"/>
        </w:rPr>
        <w:t>于2025年7月5日下午4点前，响应机构应将报价</w:t>
      </w:r>
      <w:r>
        <w:rPr>
          <w:rFonts w:hint="eastAsia" w:ascii="宋体" w:hAnsi="宋体" w:cs="宋体"/>
          <w:sz w:val="24"/>
          <w:lang w:val="en-US" w:eastAsia="zh-CN"/>
        </w:rPr>
        <w:t>及资质证明文件</w:t>
      </w:r>
      <w:r>
        <w:rPr>
          <w:rFonts w:hint="eastAsia" w:ascii="宋体" w:hAnsi="宋体" w:cs="宋体"/>
          <w:sz w:val="24"/>
        </w:rPr>
        <w:t>报送至指定电子邮箱。</w:t>
      </w:r>
    </w:p>
    <w:p w14:paraId="3908414A">
      <w:pPr>
        <w:spacing w:line="360" w:lineRule="auto"/>
        <w:ind w:firstLine="480" w:firstLineChars="200"/>
        <w:rPr>
          <w:rFonts w:ascii="宋体" w:hAnsi="宋体" w:cs="宋体"/>
          <w:sz w:val="24"/>
        </w:rPr>
      </w:pPr>
    </w:p>
    <w:p w14:paraId="47854D92">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lang w:val="en-US" w:eastAsia="zh-CN"/>
        </w:rPr>
        <w:t>成都市</w:t>
      </w:r>
      <w:r>
        <w:rPr>
          <w:rFonts w:hint="eastAsia" w:ascii="宋体" w:hAnsi="宋体" w:cs="宋体"/>
          <w:sz w:val="24"/>
        </w:rPr>
        <w:t>新津区五津街道五津北路121号</w:t>
      </w:r>
    </w:p>
    <w:p w14:paraId="5696B17D">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联 系 人：陈</w:t>
      </w:r>
      <w:r>
        <w:rPr>
          <w:rFonts w:hint="eastAsia" w:ascii="宋体" w:hAnsi="宋体" w:cs="宋体"/>
          <w:sz w:val="24"/>
          <w:lang w:val="en-US" w:eastAsia="zh-CN"/>
        </w:rPr>
        <w:t>老师</w:t>
      </w:r>
    </w:p>
    <w:p w14:paraId="697C92C3">
      <w:pPr>
        <w:spacing w:line="360" w:lineRule="auto"/>
        <w:ind w:firstLine="480" w:firstLineChars="200"/>
        <w:rPr>
          <w:rFonts w:ascii="宋体" w:hAnsi="宋体" w:cs="宋体"/>
          <w:sz w:val="24"/>
        </w:rPr>
      </w:pPr>
      <w:r>
        <w:rPr>
          <w:rFonts w:hint="eastAsia" w:ascii="宋体" w:hAnsi="宋体" w:cs="宋体"/>
          <w:sz w:val="24"/>
        </w:rPr>
        <w:t>邮    箱：</w:t>
      </w:r>
      <w:r>
        <w:rPr>
          <w:rFonts w:ascii="宋体" w:hAnsi="宋体" w:cs="宋体"/>
          <w:sz w:val="24"/>
        </w:rPr>
        <w:t>811131522@qq.com</w:t>
      </w:r>
    </w:p>
    <w:p w14:paraId="5AA0B0E0">
      <w:pPr>
        <w:spacing w:line="360" w:lineRule="auto"/>
        <w:ind w:firstLine="480" w:firstLineChars="200"/>
        <w:rPr>
          <w:rFonts w:ascii="宋体" w:hAnsi="宋体" w:cs="宋体"/>
          <w:sz w:val="24"/>
        </w:rPr>
      </w:pPr>
      <w:r>
        <w:rPr>
          <w:rFonts w:hint="eastAsia" w:ascii="宋体" w:hAnsi="宋体" w:cs="宋体"/>
          <w:sz w:val="24"/>
        </w:rPr>
        <w:t>联系电话：</w:t>
      </w:r>
      <w:r>
        <w:rPr>
          <w:rFonts w:ascii="宋体" w:hAnsi="宋体" w:cs="宋体"/>
          <w:sz w:val="24"/>
        </w:rPr>
        <w:t>15198083660</w:t>
      </w:r>
      <w:r>
        <w:rPr>
          <w:rFonts w:hint="eastAsia" w:ascii="宋体" w:hAnsi="宋体" w:cs="宋体"/>
          <w:sz w:val="24"/>
        </w:rPr>
        <w:t xml:space="preserve"> </w:t>
      </w:r>
    </w:p>
    <w:p w14:paraId="40F1E10C">
      <w:pPr>
        <w:spacing w:line="360" w:lineRule="auto"/>
        <w:ind w:firstLine="480" w:firstLineChars="200"/>
        <w:rPr>
          <w:rFonts w:ascii="宋体" w:hAnsi="宋体" w:cs="宋体"/>
          <w:sz w:val="24"/>
        </w:rPr>
      </w:pPr>
    </w:p>
    <w:p w14:paraId="068706E0">
      <w:pPr>
        <w:spacing w:line="360" w:lineRule="auto"/>
        <w:ind w:firstLine="480" w:firstLineChars="200"/>
        <w:jc w:val="right"/>
        <w:rPr>
          <w:rFonts w:ascii="宋体" w:hAnsi="宋体" w:cs="宋体"/>
          <w:sz w:val="24"/>
        </w:rPr>
      </w:pPr>
      <w:r>
        <w:rPr>
          <w:rFonts w:ascii="宋体" w:hAnsi="宋体" w:cs="宋体"/>
          <w:sz w:val="24"/>
        </w:rPr>
        <w:t>成都市新津区疾病预防控制中心</w:t>
      </w:r>
    </w:p>
    <w:p w14:paraId="55E9BC65">
      <w:pPr>
        <w:wordWrap w:val="0"/>
        <w:spacing w:line="360" w:lineRule="auto"/>
        <w:ind w:firstLine="480" w:firstLineChars="200"/>
        <w:jc w:val="right"/>
        <w:rPr>
          <w:rFonts w:ascii="宋体" w:hAnsi="宋体" w:cs="宋体"/>
          <w:sz w:val="24"/>
        </w:rPr>
      </w:pPr>
      <w:r>
        <w:rPr>
          <w:rFonts w:ascii="宋体" w:hAnsi="宋体" w:cs="宋体"/>
          <w:sz w:val="24"/>
        </w:rPr>
        <w:t>202</w:t>
      </w:r>
      <w:r>
        <w:rPr>
          <w:rFonts w:hint="eastAsia" w:ascii="宋体" w:hAnsi="宋体" w:cs="宋体"/>
          <w:sz w:val="24"/>
        </w:rPr>
        <w:t>5</w:t>
      </w:r>
      <w:r>
        <w:rPr>
          <w:rFonts w:ascii="宋体" w:hAnsi="宋体" w:cs="宋体"/>
          <w:sz w:val="24"/>
        </w:rPr>
        <w:t>年</w:t>
      </w:r>
      <w:r>
        <w:rPr>
          <w:rFonts w:hint="eastAsia" w:ascii="宋体" w:hAnsi="宋体" w:cs="宋体"/>
          <w:sz w:val="24"/>
        </w:rPr>
        <w:t>6</w:t>
      </w:r>
      <w:r>
        <w:rPr>
          <w:rFonts w:ascii="宋体" w:hAnsi="宋体" w:cs="宋体"/>
          <w:sz w:val="24"/>
        </w:rPr>
        <w:t>月</w:t>
      </w:r>
      <w:r>
        <w:rPr>
          <w:rFonts w:hint="eastAsia" w:ascii="宋体" w:hAnsi="宋体" w:cs="宋体"/>
          <w:sz w:val="24"/>
        </w:rPr>
        <w:t>25</w:t>
      </w:r>
      <w:r>
        <w:rPr>
          <w:rFonts w:ascii="宋体" w:hAnsi="宋体" w:cs="宋体"/>
          <w:sz w:val="24"/>
        </w:rPr>
        <w:t>日</w:t>
      </w:r>
      <w:r>
        <w:rPr>
          <w:rFonts w:hint="eastAsia" w:ascii="宋体" w:hAnsi="宋体" w:cs="宋体"/>
          <w:sz w:val="24"/>
        </w:rPr>
        <w:t xml:space="preserve">      </w:t>
      </w:r>
    </w:p>
    <w:p w14:paraId="2670DED3">
      <w:pPr>
        <w:spacing w:line="360" w:lineRule="auto"/>
        <w:ind w:firstLine="480" w:firstLineChars="200"/>
        <w:rPr>
          <w:rFonts w:ascii="宋体" w:hAnsi="宋体" w:cs="宋体"/>
          <w:sz w:val="24"/>
        </w:rPr>
      </w:pPr>
    </w:p>
    <w:p w14:paraId="6A2F43B0">
      <w:pPr>
        <w:spacing w:line="360" w:lineRule="auto"/>
        <w:ind w:firstLine="480" w:firstLineChars="200"/>
        <w:rPr>
          <w:rFonts w:ascii="宋体" w:hAnsi="宋体" w:cs="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E75E88"/>
    <w:multiLevelType w:val="multilevel"/>
    <w:tmpl w:val="3EE75E88"/>
    <w:lvl w:ilvl="0" w:tentative="0">
      <w:start w:val="3"/>
      <w:numFmt w:val="japaneseCounting"/>
      <w:lvlText w:val="%1、"/>
      <w:lvlJc w:val="left"/>
      <w:pPr>
        <w:ind w:left="620" w:hanging="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BCA4259"/>
    <w:multiLevelType w:val="multilevel"/>
    <w:tmpl w:val="7BCA4259"/>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ZTk2ODZjZTVmNjFmNmQyMDU4OTgwMWZhNWNkZDUifQ=="/>
  </w:docVars>
  <w:rsids>
    <w:rsidRoot w:val="17E901FA"/>
    <w:rsid w:val="00503E0E"/>
    <w:rsid w:val="008F1BD6"/>
    <w:rsid w:val="00A100FF"/>
    <w:rsid w:val="00AE0458"/>
    <w:rsid w:val="00BB4CBB"/>
    <w:rsid w:val="00D5585A"/>
    <w:rsid w:val="00EC2543"/>
    <w:rsid w:val="09420839"/>
    <w:rsid w:val="0BB30DD7"/>
    <w:rsid w:val="0CC40A6E"/>
    <w:rsid w:val="14BF5007"/>
    <w:rsid w:val="16EA3D3B"/>
    <w:rsid w:val="17291BFD"/>
    <w:rsid w:val="178809D5"/>
    <w:rsid w:val="17E901FA"/>
    <w:rsid w:val="23FA1FE5"/>
    <w:rsid w:val="24621169"/>
    <w:rsid w:val="24B34BB2"/>
    <w:rsid w:val="25854F0B"/>
    <w:rsid w:val="26B76581"/>
    <w:rsid w:val="28015BCF"/>
    <w:rsid w:val="28126D74"/>
    <w:rsid w:val="2A4B1960"/>
    <w:rsid w:val="2F7F260B"/>
    <w:rsid w:val="300C7F94"/>
    <w:rsid w:val="32F169A3"/>
    <w:rsid w:val="33D37793"/>
    <w:rsid w:val="33DF2797"/>
    <w:rsid w:val="34AD40E9"/>
    <w:rsid w:val="352A15DC"/>
    <w:rsid w:val="37EB2336"/>
    <w:rsid w:val="3D286A16"/>
    <w:rsid w:val="42991341"/>
    <w:rsid w:val="452B4CA6"/>
    <w:rsid w:val="458A0FC3"/>
    <w:rsid w:val="460745DA"/>
    <w:rsid w:val="4A3B4613"/>
    <w:rsid w:val="4DD202A9"/>
    <w:rsid w:val="50950DB2"/>
    <w:rsid w:val="50F578D6"/>
    <w:rsid w:val="510313E5"/>
    <w:rsid w:val="52A07A0E"/>
    <w:rsid w:val="53165C44"/>
    <w:rsid w:val="53606CC6"/>
    <w:rsid w:val="53DD49B3"/>
    <w:rsid w:val="55652881"/>
    <w:rsid w:val="56221D4D"/>
    <w:rsid w:val="59B1227D"/>
    <w:rsid w:val="5C8D48D5"/>
    <w:rsid w:val="5EF11B41"/>
    <w:rsid w:val="603617A6"/>
    <w:rsid w:val="64B63248"/>
    <w:rsid w:val="66E60F27"/>
    <w:rsid w:val="68124042"/>
    <w:rsid w:val="68BE0B64"/>
    <w:rsid w:val="6C7815F3"/>
    <w:rsid w:val="6F421A86"/>
    <w:rsid w:val="712E7C2D"/>
    <w:rsid w:val="745E5245"/>
    <w:rsid w:val="75A1363B"/>
    <w:rsid w:val="794762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qFormat/>
    <w:uiPriority w:val="0"/>
    <w:pPr>
      <w:keepNext/>
      <w:keepLines/>
      <w:outlineLvl w:val="0"/>
    </w:pPr>
    <w:rPr>
      <w:b/>
      <w:kern w:val="44"/>
      <w:sz w:val="30"/>
    </w:rPr>
  </w:style>
  <w:style w:type="paragraph" w:styleId="3">
    <w:name w:val="heading 2"/>
    <w:basedOn w:val="1"/>
    <w:next w:val="1"/>
    <w:qFormat/>
    <w:uiPriority w:val="0"/>
    <w:pPr>
      <w:keepNext/>
      <w:keepLines/>
      <w:spacing w:line="413" w:lineRule="auto"/>
      <w:outlineLvl w:val="1"/>
    </w:pPr>
    <w:rPr>
      <w:rFonts w:ascii="Arial" w:hAnsi="Arial" w:eastAsia="宋体"/>
      <w:b/>
      <w:kern w:val="21"/>
      <w:sz w:val="32"/>
    </w:rPr>
  </w:style>
  <w:style w:type="character" w:default="1" w:styleId="8">
    <w:name w:val="Default Paragraph Font"/>
    <w:unhideWhenUsed/>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4">
    <w:name w:val="Body Text"/>
    <w:basedOn w:val="1"/>
    <w:next w:val="1"/>
    <w:qFormat/>
    <w:uiPriority w:val="0"/>
  </w:style>
  <w:style w:type="paragraph" w:styleId="5">
    <w:name w:val="Body Text First Indent"/>
    <w:basedOn w:val="4"/>
    <w:next w:val="1"/>
    <w:qFormat/>
    <w:uiPriority w:val="0"/>
    <w:pPr>
      <w:ind w:firstLine="420" w:firstLineChars="100"/>
    </w:p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h11"/>
    <w:basedOn w:val="1"/>
    <w:uiPriority w:val="99"/>
    <w:pPr>
      <w:widowControl/>
      <w:wordWrap w:val="0"/>
      <w:spacing w:before="90" w:after="90"/>
      <w:jc w:val="left"/>
    </w:pPr>
    <w:rPr>
      <w:rFonts w:ascii="宋体" w:hAnsi="宋体" w:cs="宋体"/>
      <w:kern w:val="0"/>
      <w:sz w:val="24"/>
    </w:rPr>
  </w:style>
  <w:style w:type="paragraph" w:customStyle="1" w:styleId="10">
    <w:name w:val="Default"/>
    <w:qFormat/>
    <w:uiPriority w:val="0"/>
    <w:pPr>
      <w:widowControl w:val="0"/>
      <w:autoSpaceDE w:val="0"/>
      <w:autoSpaceDN w:val="0"/>
      <w:adjustRightInd w:val="0"/>
    </w:pPr>
    <w:rPr>
      <w:rFonts w:ascii="楷体à.ā" w:eastAsia="楷体à.ā"/>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886</Words>
  <Characters>997</Characters>
  <Lines>9</Lines>
  <Paragraphs>2</Paragraphs>
  <TotalTime>37</TotalTime>
  <ScaleCrop>false</ScaleCrop>
  <LinksUpToDate>false</LinksUpToDate>
  <CharactersWithSpaces>1052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2024-08-05T08:41:00Z</dcterms:created>
  <dc:creator>张三</dc:creator>
  <cp:lastModifiedBy>Rock</cp:lastModifiedBy>
  <dcterms:modified xsi:type="dcterms:W3CDTF">2025-06-25T02:35:32Z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90ED39ED69424EC3AA361CAC668A377A_13</vt:lpwstr>
  </property>
  <property fmtid="{D5CDD505-2E9C-101B-9397-08002B2CF9AE}" pid="4" name="KSOTemplateDocerSaveRecord">
    <vt:lpwstr>eyJoZGlkIjoiZDI3YTY3NWJhYWY3ODdmNDJiYjNmMmU0NmI1MDA5NWYiLCJ1c2VySWQiOiIyOTY1MDIxNDYifQ==</vt:lpwstr>
  </property>
</Properties>
</file>